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41B8" w14:textId="77777777" w:rsidR="00B16640" w:rsidRDefault="00000000">
      <w:pPr>
        <w:pStyle w:val="normal1"/>
        <w:spacing w:after="60"/>
        <w:jc w:val="center"/>
        <w:rPr>
          <w:rFonts w:ascii="Comfortaa" w:eastAsia="Comfortaa" w:hAnsi="Comfortaa" w:cs="Comfortaa"/>
          <w:b/>
          <w:bCs/>
          <w:sz w:val="28"/>
          <w:szCs w:val="28"/>
        </w:rPr>
      </w:pPr>
      <w:r>
        <w:rPr>
          <w:rFonts w:ascii="Comfortaa" w:eastAsia="Comfortaa" w:hAnsi="Comfortaa" w:cs="Comfortaa"/>
          <w:b/>
          <w:bCs/>
          <w:sz w:val="28"/>
          <w:szCs w:val="28"/>
        </w:rPr>
        <w:t>ALEGACIONES EXPEDIENTE 003-26-AAZA</w:t>
      </w:r>
    </w:p>
    <w:p w14:paraId="0EA613F4" w14:textId="77777777" w:rsidR="00B16640" w:rsidRDefault="00000000">
      <w:pPr>
        <w:pStyle w:val="normal1"/>
        <w:spacing w:after="200"/>
        <w:jc w:val="center"/>
        <w:rPr>
          <w:rFonts w:ascii="Comfortaa" w:eastAsia="Comfortaa" w:hAnsi="Comfortaa" w:cs="Comfortaa"/>
        </w:rPr>
      </w:pPr>
      <w:r>
        <w:rPr>
          <w:rFonts w:ascii="Comfortaa" w:eastAsia="Comfortaa" w:hAnsi="Comfortaa" w:cs="Comfortaa"/>
          <w:i/>
          <w:iCs/>
          <w:sz w:val="21"/>
          <w:szCs w:val="21"/>
        </w:rPr>
        <w:t>Autorización ambiental integrada y evaluación de impacto ambiental — Data Center HIPERESCALAR IA Zamora</w:t>
      </w:r>
    </w:p>
    <w:p w14:paraId="14581E88" w14:textId="77777777" w:rsidR="00B16640" w:rsidRDefault="00B16640">
      <w:pPr>
        <w:pStyle w:val="normal1"/>
        <w:spacing w:after="200"/>
        <w:rPr>
          <w:rFonts w:ascii="Comfortaa" w:eastAsia="Comfortaa" w:hAnsi="Comfortaa" w:cs="Comfortaa"/>
        </w:rPr>
      </w:pPr>
    </w:p>
    <w:p w14:paraId="1398054D" w14:textId="77777777" w:rsidR="00B16640" w:rsidRDefault="00000000">
      <w:pPr>
        <w:pStyle w:val="Ttulo1"/>
        <w:keepLines/>
        <w:numPr>
          <w:ilvl w:val="0"/>
          <w:numId w:val="1"/>
        </w:numPr>
        <w:jc w:val="center"/>
        <w:rPr>
          <w:rFonts w:ascii="Comfortaa" w:eastAsia="Comfortaa" w:hAnsi="Comfortaa" w:cs="Comfortaa"/>
          <w:color w:val="000000"/>
          <w:sz w:val="28"/>
          <w:szCs w:val="28"/>
        </w:rPr>
      </w:pPr>
      <w:r>
        <w:rPr>
          <w:rFonts w:ascii="Comfortaa" w:eastAsia="Comfortaa" w:hAnsi="Comfortaa" w:cs="Comfortaa"/>
          <w:color w:val="000000"/>
          <w:sz w:val="28"/>
          <w:szCs w:val="28"/>
        </w:rPr>
        <w:t>AL ÓRGANO COMPETENTE</w:t>
      </w:r>
    </w:p>
    <w:p w14:paraId="4A100FCC" w14:textId="77777777" w:rsidR="00B16640" w:rsidRDefault="00000000">
      <w:pPr>
        <w:pStyle w:val="normal1"/>
        <w:keepLines/>
        <w:spacing w:after="20" w:line="252" w:lineRule="auto"/>
        <w:jc w:val="center"/>
        <w:rPr>
          <w:rFonts w:ascii="Comfortaa" w:eastAsia="Comfortaa" w:hAnsi="Comfortaa" w:cs="Comfortaa"/>
        </w:rPr>
      </w:pPr>
      <w:r>
        <w:rPr>
          <w:rFonts w:ascii="Comfortaa" w:eastAsia="Comfortaa" w:hAnsi="Comfortaa" w:cs="Comfortaa"/>
          <w:b/>
          <w:bCs/>
        </w:rPr>
        <w:t>A LA DIRECCIÓN GENERAL DE POLÍTICA AMBIENTAL</w:t>
      </w:r>
    </w:p>
    <w:p w14:paraId="653AE11F" w14:textId="77777777" w:rsidR="00B16640" w:rsidRDefault="00000000">
      <w:pPr>
        <w:pStyle w:val="normal1"/>
        <w:keepLines/>
        <w:spacing w:after="20" w:line="252" w:lineRule="auto"/>
        <w:jc w:val="center"/>
        <w:rPr>
          <w:rFonts w:ascii="Comfortaa" w:eastAsia="Comfortaa" w:hAnsi="Comfortaa" w:cs="Comfortaa"/>
        </w:rPr>
      </w:pPr>
      <w:r>
        <w:rPr>
          <w:rFonts w:ascii="Comfortaa" w:eastAsia="Comfortaa" w:hAnsi="Comfortaa" w:cs="Comfortaa"/>
          <w:b/>
          <w:bCs/>
        </w:rPr>
        <w:t>CONSEJERÍA DE AGRICULTURA, GANADERÍA, MEDIO RURAL Y POLÍTICA AMBIENTAL</w:t>
      </w:r>
    </w:p>
    <w:p w14:paraId="1EDB3E33" w14:textId="77777777" w:rsidR="00B16640" w:rsidRDefault="00000000">
      <w:pPr>
        <w:pStyle w:val="normal1"/>
        <w:keepLines/>
        <w:spacing w:after="160" w:line="252" w:lineRule="auto"/>
        <w:jc w:val="center"/>
        <w:rPr>
          <w:rFonts w:ascii="Comfortaa" w:eastAsia="Comfortaa" w:hAnsi="Comfortaa" w:cs="Comfortaa"/>
          <w:b/>
          <w:bCs/>
        </w:rPr>
      </w:pPr>
      <w:r>
        <w:rPr>
          <w:rFonts w:ascii="Comfortaa" w:eastAsia="Comfortaa" w:hAnsi="Comfortaa" w:cs="Comfortaa"/>
          <w:b/>
          <w:bCs/>
        </w:rPr>
        <w:t>JUNTA DE CASTILLA Y LEÓN</w:t>
      </w:r>
    </w:p>
    <w:p w14:paraId="5BEDFF7F" w14:textId="77777777" w:rsidR="00B16640" w:rsidRDefault="00B16640">
      <w:pPr>
        <w:pStyle w:val="normal1"/>
        <w:keepLines/>
        <w:spacing w:after="160" w:line="252" w:lineRule="auto"/>
        <w:jc w:val="center"/>
        <w:rPr>
          <w:rFonts w:ascii="Comfortaa" w:eastAsia="Comfortaa" w:hAnsi="Comfortaa" w:cs="Comfortaa"/>
          <w:b/>
          <w:bCs/>
        </w:rPr>
      </w:pPr>
    </w:p>
    <w:p w14:paraId="546F843A" w14:textId="77777777" w:rsidR="00B16640" w:rsidRDefault="00000000">
      <w:pPr>
        <w:pStyle w:val="Ttulo2"/>
        <w:keepLines/>
        <w:numPr>
          <w:ilvl w:val="1"/>
          <w:numId w:val="1"/>
        </w:numPr>
        <w:rPr>
          <w:rFonts w:ascii="Comfortaa" w:eastAsia="Comfortaa" w:hAnsi="Comfortaa" w:cs="Comfortaa"/>
          <w:b w:val="0"/>
          <w:bCs w:val="0"/>
          <w:color w:val="000000"/>
        </w:rPr>
      </w:pPr>
      <w:r>
        <w:rPr>
          <w:rFonts w:ascii="Comfortaa" w:eastAsia="Comfortaa" w:hAnsi="Comfortaa" w:cs="Comfortaa"/>
          <w:b w:val="0"/>
          <w:bCs w:val="0"/>
          <w:color w:val="000000"/>
        </w:rPr>
        <w:t>DATOS DE LA PERSONA COMPARECIENTE</w:t>
      </w:r>
    </w:p>
    <w:p w14:paraId="3B813362" w14:textId="77777777" w:rsidR="00D97DF8" w:rsidRDefault="00CF242D" w:rsidP="00D97DF8">
      <w:pPr>
        <w:pStyle w:val="normal1"/>
        <w:keepLines/>
        <w:spacing w:before="240" w:after="100"/>
        <w:jc w:val="both"/>
      </w:pPr>
      <w:r w:rsidRPr="00CF242D">
        <w:t xml:space="preserve">D.ª </w:t>
      </w:r>
      <w:r w:rsidR="00D97DF8">
        <w:t>___________________________________________________________________________</w:t>
      </w:r>
      <w:r w:rsidRPr="00CF242D">
        <w:t>, con DNI</w:t>
      </w:r>
    </w:p>
    <w:p w14:paraId="505DC2BE" w14:textId="1A3CEC76" w:rsidR="00D97DF8" w:rsidRDefault="00D97DF8" w:rsidP="00D97DF8">
      <w:pPr>
        <w:pStyle w:val="normal1"/>
        <w:keepLines/>
        <w:spacing w:before="240" w:after="100"/>
        <w:jc w:val="both"/>
      </w:pPr>
      <w:r>
        <w:t>________________________________</w:t>
      </w:r>
      <w:r w:rsidR="00CF242D" w:rsidRPr="00CF242D">
        <w:t xml:space="preserve">, vecina de </w:t>
      </w:r>
      <w:r>
        <w:t>____________________________________________</w:t>
      </w:r>
      <w:r w:rsidR="00CF242D" w:rsidRPr="00CF242D">
        <w:t>,</w:t>
      </w:r>
    </w:p>
    <w:p w14:paraId="77FED70F" w14:textId="068D5E07" w:rsidR="00D97DF8" w:rsidRDefault="00CF242D" w:rsidP="00D97DF8">
      <w:pPr>
        <w:pStyle w:val="normal1"/>
        <w:keepLines/>
        <w:spacing w:before="240" w:after="100"/>
        <w:jc w:val="both"/>
        <w:rPr>
          <w:rFonts w:ascii="Comfortaa" w:eastAsia="Comfortaa" w:hAnsi="Comfortaa" w:cs="Comfortaa"/>
        </w:rPr>
      </w:pPr>
      <w:r w:rsidRPr="00CF242D">
        <w:t xml:space="preserve">y con domicilio a efectos de notificaciones en </w:t>
      </w:r>
      <w:r w:rsidR="00D97DF8">
        <w:t>_________________________________________________</w:t>
      </w:r>
      <w:r>
        <w:rPr>
          <w:rFonts w:ascii="Comfortaa" w:eastAsia="Comfortaa" w:hAnsi="Comfortaa" w:cs="Comfortaa"/>
        </w:rPr>
        <w:t xml:space="preserve">, </w:t>
      </w:r>
    </w:p>
    <w:p w14:paraId="55307DC9" w14:textId="0C857C51" w:rsidR="00B16640" w:rsidRDefault="00CF242D" w:rsidP="00D97DF8">
      <w:pPr>
        <w:pStyle w:val="normal1"/>
        <w:keepLines/>
        <w:spacing w:before="240" w:after="100"/>
        <w:jc w:val="both"/>
        <w:rPr>
          <w:rFonts w:ascii="Comfortaa" w:eastAsia="Comfortaa" w:hAnsi="Comfortaa" w:cs="Comfortaa"/>
        </w:rPr>
      </w:pPr>
      <w:r w:rsidRPr="00845E75">
        <w:rPr>
          <w:rFonts w:ascii="Comfortaa" w:eastAsia="Comfortaa" w:hAnsi="Comfortaa" w:cs="Comfortaa"/>
        </w:rPr>
        <w:t>comparece a título individual y, como mejor proceda en Derecho,</w:t>
      </w:r>
    </w:p>
    <w:p w14:paraId="40566442" w14:textId="77777777" w:rsidR="00B16640" w:rsidRDefault="00B16640">
      <w:pPr>
        <w:pStyle w:val="normal1"/>
        <w:keepLines/>
        <w:spacing w:after="100" w:line="252" w:lineRule="auto"/>
        <w:jc w:val="both"/>
        <w:rPr>
          <w:rFonts w:ascii="Comfortaa" w:eastAsia="Comfortaa" w:hAnsi="Comfortaa" w:cs="Comfortaa"/>
        </w:rPr>
      </w:pPr>
    </w:p>
    <w:p w14:paraId="4D510274" w14:textId="77777777" w:rsidR="00B16640" w:rsidRDefault="00B16640">
      <w:pPr>
        <w:pStyle w:val="normal1"/>
        <w:keepLines/>
        <w:spacing w:after="100" w:line="252" w:lineRule="auto"/>
        <w:jc w:val="both"/>
        <w:rPr>
          <w:rFonts w:ascii="Comfortaa" w:eastAsia="Comfortaa" w:hAnsi="Comfortaa" w:cs="Comfortaa"/>
        </w:rPr>
      </w:pPr>
    </w:p>
    <w:p w14:paraId="37D80B1C" w14:textId="77777777" w:rsidR="00B16640" w:rsidRDefault="00000000">
      <w:pPr>
        <w:pStyle w:val="normal1"/>
        <w:spacing w:before="120" w:after="120"/>
        <w:jc w:val="center"/>
        <w:rPr>
          <w:rFonts w:ascii="Comfortaa" w:eastAsia="Comfortaa" w:hAnsi="Comfortaa" w:cs="Comfortaa"/>
        </w:rPr>
      </w:pPr>
      <w:r>
        <w:rPr>
          <w:rFonts w:ascii="Comfortaa" w:eastAsia="Comfortaa" w:hAnsi="Comfortaa" w:cs="Comfortaa"/>
          <w:b/>
          <w:bCs/>
          <w:sz w:val="28"/>
          <w:szCs w:val="28"/>
        </w:rPr>
        <w:t>EXPONE</w:t>
      </w:r>
    </w:p>
    <w:p w14:paraId="762F0B62"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 </w:t>
      </w:r>
      <w:r>
        <w:rPr>
          <w:rFonts w:ascii="Comfortaa" w:eastAsia="Comfortaa" w:hAnsi="Comfortaa" w:cs="Comfortaa"/>
        </w:rPr>
        <w:t xml:space="preserve">Que en el trámite de información pública del expediente 003-26-AAZA formula alegaciones al proyecto sometido a autorización ambiental integrada y evaluación de impacto ambiental, promovido por EDISON NEXT SPAIN, S.L.U., relativo al Data Center HIPERESCALAR IA Zamora e infraestructuras asociadas, en los términos municipales de </w:t>
      </w:r>
      <w:proofErr w:type="spellStart"/>
      <w:r>
        <w:rPr>
          <w:rFonts w:ascii="Comfortaa" w:eastAsia="Comfortaa" w:hAnsi="Comfortaa" w:cs="Comfortaa"/>
        </w:rPr>
        <w:t>Monfarracinos</w:t>
      </w:r>
      <w:proofErr w:type="spellEnd"/>
      <w:r>
        <w:rPr>
          <w:rFonts w:ascii="Comfortaa" w:eastAsia="Comfortaa" w:hAnsi="Comfortaa" w:cs="Comfortaa"/>
        </w:rPr>
        <w:t xml:space="preserve"> y Zamora.</w:t>
      </w:r>
    </w:p>
    <w:p w14:paraId="05D4A31E"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2. </w:t>
      </w:r>
      <w:r>
        <w:rPr>
          <w:rFonts w:ascii="Comfortaa" w:eastAsia="Comfortaa" w:hAnsi="Comfortaa" w:cs="Comfortaa"/>
        </w:rPr>
        <w:t>Que las presentes observaciones se basan en la documentación pública examinada: proyecto básico de autorización ambiental integrada, resumen no técnico y planos. Las referencias a páginas se entienden hechas a la paginación visible del archivo publicado; si la Administración maneja otra versión o paginación, deberá facilitar una tabla de correspondencias.</w:t>
      </w:r>
    </w:p>
    <w:p w14:paraId="49827AC2"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3. </w:t>
      </w:r>
      <w:r>
        <w:rPr>
          <w:rFonts w:ascii="Comfortaa" w:eastAsia="Comfortaa" w:hAnsi="Comfortaa" w:cs="Comfortaa"/>
        </w:rPr>
        <w:t>Que la instalación se presenta como un sistema funcional integrado por cinco edificios de centro de datos, central térmica con motores duales, sistema BESS, planta fotovoltaica, líneas eléctricas, conexiones de gas y agua, accesos, urbanización y obras por fases. La evaluación debe abarcar el proyecto completo y sus efectos directos, indirectos, acumulativos y sinérgicos, sin fragmentar componentes indispensables.</w:t>
      </w:r>
    </w:p>
    <w:p w14:paraId="04FD5BD4" w14:textId="77777777" w:rsidR="00D81242" w:rsidRPr="00D81242" w:rsidRDefault="00000000" w:rsidP="00D81242">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4. Que comparece a título individual en el presente trámite de información pública, sin necesidad de acreditar un interés legítimo específico para formular alegaciones. El artículo 83.2 de la Ley 39/2015, de 1 de octubre, del Procedimiento Administrativo Común de las Administraciones Públicas, establece que cualquier persona física o jurídica puede examinar el expediente sometido a información pública y formular alegaciones; y su apartado 3 reconoce a quienes las presenten el derecho a obtener de la Administración una respuesta razonada.</w:t>
      </w:r>
    </w:p>
    <w:p w14:paraId="06B8804D" w14:textId="5D09F288" w:rsidR="00D81242" w:rsidRPr="00D81242" w:rsidRDefault="00D81242" w:rsidP="00D81242">
      <w:pPr>
        <w:pStyle w:val="normal1"/>
        <w:keepLines/>
        <w:spacing w:line="252" w:lineRule="auto"/>
        <w:ind w:left="340" w:hanging="340"/>
        <w:jc w:val="both"/>
        <w:rPr>
          <w:rFonts w:ascii="Comfortaa" w:eastAsia="Comfortaa" w:hAnsi="Comfortaa" w:cs="Comfortaa"/>
        </w:rPr>
      </w:pPr>
      <w:r w:rsidRPr="00D81242">
        <w:rPr>
          <w:rFonts w:ascii="Comfortaa" w:eastAsia="Comfortaa" w:hAnsi="Comfortaa" w:cs="Comfortaa"/>
        </w:rPr>
        <w:t>Asimismo, el artículo 16 del Real Decreto Legislativo 1/2016, de 16 de diciembre, exige la apertura de un período de información pública en la tramitación de la autorización ambiental integrada, y el artículo 36 de la Ley 21/2013, de 9 de diciembre, de evaluación ambiental, exige someter el proyecto y el estudio de impacto ambiental a información pública. La presente comparecencia se efectúa exclusivamente en ejercicio de ese derecho de participación pública, sin solicitar por ello el reconocimiento automático de la condición formal de persona interesada.</w:t>
      </w:r>
    </w:p>
    <w:p w14:paraId="43751FE2"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lastRenderedPageBreak/>
        <w:t>MAGNITUDES DEL PROYECTO QUE EXIGEN TRAZABILIDAD</w:t>
      </w:r>
    </w:p>
    <w:tbl>
      <w:tblPr>
        <w:tblW w:w="9354" w:type="dxa"/>
        <w:jc w:val="center"/>
        <w:tblLayout w:type="fixed"/>
        <w:tblLook w:val="0400" w:firstRow="0" w:lastRow="0" w:firstColumn="0" w:lastColumn="0" w:noHBand="0" w:noVBand="1"/>
      </w:tblPr>
      <w:tblGrid>
        <w:gridCol w:w="2891"/>
        <w:gridCol w:w="6463"/>
      </w:tblGrid>
      <w:tr w:rsidR="00B16640" w14:paraId="4C66A540" w14:textId="77777777">
        <w:trPr>
          <w:tblHeader/>
          <w:jc w:val="center"/>
        </w:trPr>
        <w:tc>
          <w:tcPr>
            <w:tcW w:w="2891" w:type="dxa"/>
            <w:tcBorders>
              <w:top w:val="single" w:sz="4" w:space="0" w:color="666666"/>
              <w:left w:val="single" w:sz="4" w:space="0" w:color="666666"/>
              <w:bottom w:val="single" w:sz="4" w:space="0" w:color="666666"/>
              <w:right w:val="single" w:sz="4" w:space="0" w:color="666666"/>
            </w:tcBorders>
            <w:shd w:val="clear" w:color="auto" w:fill="999999"/>
          </w:tcPr>
          <w:p w14:paraId="7F54F983" w14:textId="77777777" w:rsidR="00B16640" w:rsidRDefault="00000000">
            <w:pPr>
              <w:pStyle w:val="normal1"/>
              <w:rPr>
                <w:rFonts w:ascii="Comfortaa" w:eastAsia="Comfortaa" w:hAnsi="Comfortaa" w:cs="Comfortaa"/>
                <w:color w:val="FFFFFF"/>
              </w:rPr>
            </w:pPr>
            <w:r>
              <w:rPr>
                <w:rFonts w:ascii="Comfortaa" w:eastAsia="Comfortaa" w:hAnsi="Comfortaa" w:cs="Comfortaa"/>
                <w:b/>
                <w:bCs/>
                <w:color w:val="FFFFFF"/>
              </w:rPr>
              <w:t>Magnitud</w:t>
            </w:r>
          </w:p>
        </w:tc>
        <w:tc>
          <w:tcPr>
            <w:tcW w:w="6463" w:type="dxa"/>
            <w:tcBorders>
              <w:top w:val="single" w:sz="4" w:space="0" w:color="666666"/>
              <w:left w:val="single" w:sz="4" w:space="0" w:color="666666"/>
              <w:bottom w:val="single" w:sz="4" w:space="0" w:color="666666"/>
              <w:right w:val="single" w:sz="4" w:space="0" w:color="666666"/>
            </w:tcBorders>
            <w:shd w:val="clear" w:color="auto" w:fill="999999"/>
          </w:tcPr>
          <w:p w14:paraId="79F523AD" w14:textId="77777777" w:rsidR="00B16640" w:rsidRDefault="00000000">
            <w:pPr>
              <w:pStyle w:val="normal1"/>
              <w:rPr>
                <w:rFonts w:ascii="Comfortaa" w:eastAsia="Comfortaa" w:hAnsi="Comfortaa" w:cs="Comfortaa"/>
                <w:color w:val="FFFFFF"/>
              </w:rPr>
            </w:pPr>
            <w:r>
              <w:rPr>
                <w:rFonts w:ascii="Comfortaa" w:eastAsia="Comfortaa" w:hAnsi="Comfortaa" w:cs="Comfortaa"/>
                <w:b/>
                <w:bCs/>
                <w:color w:val="FFFFFF"/>
              </w:rPr>
              <w:t>Dato publicado que debe quedar fijado</w:t>
            </w:r>
          </w:p>
        </w:tc>
      </w:tr>
      <w:tr w:rsidR="00B16640" w14:paraId="7A1B04FC" w14:textId="77777777">
        <w:trPr>
          <w:cantSplit/>
          <w:jc w:val="center"/>
        </w:trPr>
        <w:tc>
          <w:tcPr>
            <w:tcW w:w="2891" w:type="dxa"/>
            <w:tcBorders>
              <w:top w:val="single" w:sz="4" w:space="0" w:color="666666"/>
              <w:left w:val="single" w:sz="4" w:space="0" w:color="B7C9D6"/>
              <w:bottom w:val="single" w:sz="4" w:space="0" w:color="B7C9D6"/>
              <w:right w:val="single" w:sz="4" w:space="0" w:color="B7C9D6"/>
            </w:tcBorders>
            <w:tcMar>
              <w:top w:w="80" w:type="dxa"/>
              <w:bottom w:w="80" w:type="dxa"/>
            </w:tcMar>
          </w:tcPr>
          <w:p w14:paraId="18DE5667" w14:textId="77777777" w:rsidR="00B16640" w:rsidRDefault="00000000">
            <w:pPr>
              <w:pStyle w:val="normal1"/>
              <w:rPr>
                <w:rFonts w:ascii="Comfortaa" w:eastAsia="Comfortaa" w:hAnsi="Comfortaa" w:cs="Comfortaa"/>
              </w:rPr>
            </w:pPr>
            <w:r>
              <w:rPr>
                <w:rFonts w:ascii="Comfortaa" w:eastAsia="Comfortaa" w:hAnsi="Comfortaa" w:cs="Comfortaa"/>
                <w:b/>
                <w:bCs/>
              </w:rPr>
              <w:t>Capacidad del centro de datos</w:t>
            </w:r>
          </w:p>
        </w:tc>
        <w:tc>
          <w:tcPr>
            <w:tcW w:w="6463" w:type="dxa"/>
            <w:tcBorders>
              <w:top w:val="single" w:sz="4" w:space="0" w:color="666666"/>
              <w:left w:val="single" w:sz="4" w:space="0" w:color="B7C9D6"/>
              <w:bottom w:val="single" w:sz="4" w:space="0" w:color="B7C9D6"/>
              <w:right w:val="single" w:sz="4" w:space="0" w:color="B7C9D6"/>
            </w:tcBorders>
            <w:tcMar>
              <w:top w:w="80" w:type="dxa"/>
              <w:bottom w:w="80" w:type="dxa"/>
            </w:tcMar>
          </w:tcPr>
          <w:p w14:paraId="24A57234" w14:textId="77777777" w:rsidR="00B16640" w:rsidRDefault="00000000">
            <w:pPr>
              <w:pStyle w:val="normal1"/>
              <w:rPr>
                <w:rFonts w:ascii="Comfortaa" w:eastAsia="Comfortaa" w:hAnsi="Comfortaa" w:cs="Comfortaa"/>
              </w:rPr>
            </w:pPr>
            <w:r>
              <w:rPr>
                <w:rFonts w:ascii="Comfortaa" w:eastAsia="Comfortaa" w:hAnsi="Comfortaa" w:cs="Comfortaa"/>
              </w:rPr>
              <w:t>5 edificios × 40 MW IT = 200 MW IT (proyecto básico, págs. 59 y 120)</w:t>
            </w:r>
          </w:p>
        </w:tc>
      </w:tr>
      <w:tr w:rsidR="00B16640" w14:paraId="1796E2F8" w14:textId="77777777">
        <w:trPr>
          <w:cantSplit/>
          <w:jc w:val="center"/>
        </w:trPr>
        <w:tc>
          <w:tcPr>
            <w:tcW w:w="2891" w:type="dxa"/>
            <w:tcBorders>
              <w:top w:val="single" w:sz="4" w:space="0" w:color="B7C9D6"/>
              <w:left w:val="single" w:sz="4" w:space="0" w:color="B7C9D6"/>
              <w:bottom w:val="single" w:sz="4" w:space="0" w:color="B7C9D6"/>
              <w:right w:val="single" w:sz="4" w:space="0" w:color="B7C9D6"/>
            </w:tcBorders>
            <w:tcMar>
              <w:top w:w="80" w:type="dxa"/>
              <w:bottom w:w="80" w:type="dxa"/>
            </w:tcMar>
          </w:tcPr>
          <w:p w14:paraId="799B3E6A" w14:textId="77777777" w:rsidR="00B16640" w:rsidRDefault="00000000">
            <w:pPr>
              <w:pStyle w:val="normal1"/>
              <w:rPr>
                <w:rFonts w:ascii="Comfortaa" w:eastAsia="Comfortaa" w:hAnsi="Comfortaa" w:cs="Comfortaa"/>
              </w:rPr>
            </w:pPr>
            <w:r>
              <w:rPr>
                <w:rFonts w:ascii="Comfortaa" w:eastAsia="Comfortaa" w:hAnsi="Comfortaa" w:cs="Comfortaa"/>
                <w:b/>
                <w:bCs/>
              </w:rPr>
              <w:t>Generación térmica principal</w:t>
            </w:r>
          </w:p>
        </w:tc>
        <w:tc>
          <w:tcPr>
            <w:tcW w:w="6463" w:type="dxa"/>
            <w:tcBorders>
              <w:top w:val="single" w:sz="4" w:space="0" w:color="B7C9D6"/>
              <w:left w:val="single" w:sz="4" w:space="0" w:color="B7C9D6"/>
              <w:bottom w:val="single" w:sz="4" w:space="0" w:color="B7C9D6"/>
              <w:right w:val="single" w:sz="4" w:space="0" w:color="B7C9D6"/>
            </w:tcBorders>
            <w:tcMar>
              <w:top w:w="80" w:type="dxa"/>
              <w:bottom w:w="80" w:type="dxa"/>
            </w:tcMar>
          </w:tcPr>
          <w:p w14:paraId="53B666E9" w14:textId="7C7480D6" w:rsidR="00B16640" w:rsidRDefault="00000000">
            <w:pPr>
              <w:pStyle w:val="normal1"/>
              <w:rPr>
                <w:rFonts w:ascii="Comfortaa" w:eastAsia="Comfortaa" w:hAnsi="Comfortaa" w:cs="Comfortaa"/>
              </w:rPr>
            </w:pPr>
            <w:r>
              <w:rPr>
                <w:rFonts w:ascii="Comfortaa" w:eastAsia="Comfortaa" w:hAnsi="Comfortaa" w:cs="Comfortaa"/>
              </w:rPr>
              <w:t xml:space="preserve">24 motores duales; 48,498 </w:t>
            </w:r>
            <w:proofErr w:type="spellStart"/>
            <w:r>
              <w:rPr>
                <w:rFonts w:ascii="Comfortaa" w:eastAsia="Comfortaa" w:hAnsi="Comfortaa" w:cs="Comfortaa"/>
              </w:rPr>
              <w:t>MWt</w:t>
            </w:r>
            <w:proofErr w:type="spellEnd"/>
            <w:r>
              <w:rPr>
                <w:rFonts w:ascii="Comfortaa" w:eastAsia="Comfortaa" w:hAnsi="Comfortaa" w:cs="Comfortaa"/>
              </w:rPr>
              <w:t xml:space="preserve"> por unidad; 1.163,969 </w:t>
            </w:r>
            <w:proofErr w:type="spellStart"/>
            <w:r>
              <w:rPr>
                <w:rFonts w:ascii="Comfortaa" w:eastAsia="Comfortaa" w:hAnsi="Comfortaa" w:cs="Comfortaa"/>
              </w:rPr>
              <w:t>MWt</w:t>
            </w:r>
            <w:proofErr w:type="spellEnd"/>
            <w:r>
              <w:rPr>
                <w:rFonts w:ascii="Comfortaa" w:eastAsia="Comfortaa" w:hAnsi="Comfortaa" w:cs="Comfortaa"/>
              </w:rPr>
              <w:t xml:space="preserve"> totales; 24 chimeneas de 30 m (del Proyecto básico de AAI expuesto en periodo de información </w:t>
            </w:r>
            <w:r w:rsidR="00555F54">
              <w:rPr>
                <w:rFonts w:ascii="Comfortaa" w:eastAsia="Comfortaa" w:hAnsi="Comfortaa" w:cs="Comfortaa"/>
              </w:rPr>
              <w:t>pública págs.</w:t>
            </w:r>
            <w:r>
              <w:rPr>
                <w:rFonts w:ascii="Comfortaa" w:eastAsia="Comfortaa" w:hAnsi="Comfortaa" w:cs="Comfortaa"/>
              </w:rPr>
              <w:t xml:space="preserve"> 59 y 289–293)</w:t>
            </w:r>
          </w:p>
        </w:tc>
      </w:tr>
      <w:tr w:rsidR="00B16640" w14:paraId="425924A1" w14:textId="77777777">
        <w:trPr>
          <w:cantSplit/>
          <w:jc w:val="center"/>
        </w:trPr>
        <w:tc>
          <w:tcPr>
            <w:tcW w:w="2891" w:type="dxa"/>
            <w:tcBorders>
              <w:top w:val="single" w:sz="4" w:space="0" w:color="B7C9D6"/>
              <w:left w:val="single" w:sz="4" w:space="0" w:color="B7C9D6"/>
              <w:bottom w:val="single" w:sz="4" w:space="0" w:color="B7C9D6"/>
              <w:right w:val="single" w:sz="4" w:space="0" w:color="B7C9D6"/>
            </w:tcBorders>
            <w:tcMar>
              <w:top w:w="80" w:type="dxa"/>
              <w:bottom w:w="80" w:type="dxa"/>
            </w:tcMar>
          </w:tcPr>
          <w:p w14:paraId="128E1445" w14:textId="77777777" w:rsidR="00B16640" w:rsidRDefault="00000000">
            <w:pPr>
              <w:pStyle w:val="normal1"/>
              <w:rPr>
                <w:rFonts w:ascii="Comfortaa" w:eastAsia="Comfortaa" w:hAnsi="Comfortaa" w:cs="Comfortaa"/>
              </w:rPr>
            </w:pPr>
            <w:r>
              <w:rPr>
                <w:rFonts w:ascii="Comfortaa" w:eastAsia="Comfortaa" w:hAnsi="Comfortaa" w:cs="Comfortaa"/>
                <w:b/>
                <w:bCs/>
              </w:rPr>
              <w:t>Sistema BESS</w:t>
            </w:r>
          </w:p>
        </w:tc>
        <w:tc>
          <w:tcPr>
            <w:tcW w:w="6463" w:type="dxa"/>
            <w:tcBorders>
              <w:top w:val="single" w:sz="4" w:space="0" w:color="B7C9D6"/>
              <w:left w:val="single" w:sz="4" w:space="0" w:color="B7C9D6"/>
              <w:bottom w:val="single" w:sz="4" w:space="0" w:color="B7C9D6"/>
              <w:right w:val="single" w:sz="4" w:space="0" w:color="B7C9D6"/>
            </w:tcBorders>
            <w:tcMar>
              <w:top w:w="80" w:type="dxa"/>
              <w:bottom w:w="80" w:type="dxa"/>
            </w:tcMar>
          </w:tcPr>
          <w:p w14:paraId="6FAC5C2D" w14:textId="6D18F8C9" w:rsidR="00B16640" w:rsidRDefault="00000000">
            <w:pPr>
              <w:pStyle w:val="normal1"/>
              <w:rPr>
                <w:rFonts w:ascii="Comfortaa" w:eastAsia="Comfortaa" w:hAnsi="Comfortaa" w:cs="Comfortaa"/>
              </w:rPr>
            </w:pPr>
            <w:r>
              <w:rPr>
                <w:rFonts w:ascii="Comfortaa" w:eastAsia="Comfortaa" w:hAnsi="Comfortaa" w:cs="Comfortaa"/>
              </w:rPr>
              <w:t xml:space="preserve">1.226 MW y 4.817 </w:t>
            </w:r>
            <w:proofErr w:type="spellStart"/>
            <w:r>
              <w:rPr>
                <w:rFonts w:ascii="Comfortaa" w:eastAsia="Comfortaa" w:hAnsi="Comfortaa" w:cs="Comfortaa"/>
              </w:rPr>
              <w:t>MWh</w:t>
            </w:r>
            <w:proofErr w:type="spellEnd"/>
            <w:r>
              <w:rPr>
                <w:rFonts w:ascii="Comfortaa" w:eastAsia="Comfortaa" w:hAnsi="Comfortaa" w:cs="Comfortaa"/>
              </w:rPr>
              <w:t xml:space="preserve"> en las págs. PDF 59 y 121; 1.140 MW y 4.562 </w:t>
            </w:r>
            <w:proofErr w:type="spellStart"/>
            <w:r>
              <w:rPr>
                <w:rFonts w:ascii="Comfortaa" w:eastAsia="Comfortaa" w:hAnsi="Comfortaa" w:cs="Comfortaa"/>
              </w:rPr>
              <w:t>MWh</w:t>
            </w:r>
            <w:proofErr w:type="spellEnd"/>
            <w:r>
              <w:rPr>
                <w:rFonts w:ascii="Comfortaa" w:eastAsia="Comfortaa" w:hAnsi="Comfortaa" w:cs="Comfortaa"/>
              </w:rPr>
              <w:t xml:space="preserve"> en el listado ZAMDC-CO-LST-0004, </w:t>
            </w:r>
            <w:proofErr w:type="spellStart"/>
            <w:r>
              <w:rPr>
                <w:rFonts w:ascii="Comfortaa" w:eastAsia="Comfortaa" w:hAnsi="Comfortaa" w:cs="Comfortaa"/>
              </w:rPr>
              <w:t>rev.</w:t>
            </w:r>
            <w:proofErr w:type="spellEnd"/>
            <w:r>
              <w:rPr>
                <w:rFonts w:ascii="Comfortaa" w:eastAsia="Comfortaa" w:hAnsi="Comfortaa" w:cs="Comfortaa"/>
              </w:rPr>
              <w:t xml:space="preserve"> 03 (del Proyecto básico de AAI expuesto en periodo de información </w:t>
            </w:r>
            <w:r w:rsidR="00555F54">
              <w:rPr>
                <w:rFonts w:ascii="Comfortaa" w:eastAsia="Comfortaa" w:hAnsi="Comfortaa" w:cs="Comfortaa"/>
              </w:rPr>
              <w:t>pública pág.</w:t>
            </w:r>
            <w:r>
              <w:rPr>
                <w:rFonts w:ascii="Comfortaa" w:eastAsia="Comfortaa" w:hAnsi="Comfortaa" w:cs="Comfortaa"/>
              </w:rPr>
              <w:t xml:space="preserve"> 680)</w:t>
            </w:r>
          </w:p>
        </w:tc>
      </w:tr>
      <w:tr w:rsidR="00B16640" w14:paraId="74D3787C" w14:textId="77777777">
        <w:trPr>
          <w:cantSplit/>
          <w:jc w:val="center"/>
        </w:trPr>
        <w:tc>
          <w:tcPr>
            <w:tcW w:w="2891" w:type="dxa"/>
            <w:tcBorders>
              <w:top w:val="single" w:sz="4" w:space="0" w:color="B7C9D6"/>
              <w:left w:val="single" w:sz="4" w:space="0" w:color="B7C9D6"/>
              <w:bottom w:val="single" w:sz="4" w:space="0" w:color="B7C9D6"/>
              <w:right w:val="single" w:sz="4" w:space="0" w:color="B7C9D6"/>
            </w:tcBorders>
            <w:tcMar>
              <w:top w:w="80" w:type="dxa"/>
              <w:bottom w:w="80" w:type="dxa"/>
            </w:tcMar>
          </w:tcPr>
          <w:p w14:paraId="70DF1F1C" w14:textId="77777777" w:rsidR="00B16640" w:rsidRDefault="00000000">
            <w:pPr>
              <w:pStyle w:val="normal1"/>
              <w:rPr>
                <w:rFonts w:ascii="Comfortaa" w:eastAsia="Comfortaa" w:hAnsi="Comfortaa" w:cs="Comfortaa"/>
              </w:rPr>
            </w:pPr>
            <w:r>
              <w:rPr>
                <w:rFonts w:ascii="Comfortaa" w:eastAsia="Comfortaa" w:hAnsi="Comfortaa" w:cs="Comfortaa"/>
                <w:b/>
                <w:bCs/>
              </w:rPr>
              <w:t>Demanda y generación</w:t>
            </w:r>
          </w:p>
        </w:tc>
        <w:tc>
          <w:tcPr>
            <w:tcW w:w="6463" w:type="dxa"/>
            <w:tcBorders>
              <w:top w:val="single" w:sz="4" w:space="0" w:color="B7C9D6"/>
              <w:left w:val="single" w:sz="4" w:space="0" w:color="B7C9D6"/>
              <w:bottom w:val="single" w:sz="4" w:space="0" w:color="B7C9D6"/>
              <w:right w:val="single" w:sz="4" w:space="0" w:color="B7C9D6"/>
            </w:tcBorders>
            <w:tcMar>
              <w:top w:w="80" w:type="dxa"/>
              <w:bottom w:w="80" w:type="dxa"/>
            </w:tcMar>
          </w:tcPr>
          <w:p w14:paraId="3AB96138" w14:textId="366C8C65" w:rsidR="00B16640" w:rsidRDefault="00000000">
            <w:pPr>
              <w:pStyle w:val="normal1"/>
              <w:rPr>
                <w:rFonts w:ascii="Comfortaa" w:eastAsia="Comfortaa" w:hAnsi="Comfortaa" w:cs="Comfortaa"/>
              </w:rPr>
            </w:pPr>
            <w:r>
              <w:rPr>
                <w:rFonts w:ascii="Comfortaa" w:eastAsia="Comfortaa" w:hAnsi="Comfortaa" w:cs="Comfortaa"/>
              </w:rPr>
              <w:t xml:space="preserve">Demanda: 2.255 GWh/año; motores: 691 GWh/año, 664 GWh destinados al centro </w:t>
            </w:r>
            <w:r w:rsidR="00555F54">
              <w:rPr>
                <w:rFonts w:ascii="Comfortaa" w:eastAsia="Comfortaa" w:hAnsi="Comfortaa" w:cs="Comfortaa"/>
              </w:rPr>
              <w:t>(Proyecto</w:t>
            </w:r>
            <w:r>
              <w:rPr>
                <w:rFonts w:ascii="Comfortaa" w:eastAsia="Comfortaa" w:hAnsi="Comfortaa" w:cs="Comfortaa"/>
              </w:rPr>
              <w:t xml:space="preserve"> básico de AAI expuesto en periodo de información pública págs. 125 y 282–284)</w:t>
            </w:r>
          </w:p>
        </w:tc>
      </w:tr>
      <w:tr w:rsidR="00B16640" w14:paraId="1B92D40A" w14:textId="77777777">
        <w:trPr>
          <w:cantSplit/>
          <w:jc w:val="center"/>
        </w:trPr>
        <w:tc>
          <w:tcPr>
            <w:tcW w:w="2891" w:type="dxa"/>
            <w:tcBorders>
              <w:top w:val="single" w:sz="4" w:space="0" w:color="B7C9D6"/>
              <w:left w:val="single" w:sz="4" w:space="0" w:color="B7C9D6"/>
              <w:bottom w:val="single" w:sz="4" w:space="0" w:color="B7C9D6"/>
              <w:right w:val="single" w:sz="4" w:space="0" w:color="B7C9D6"/>
            </w:tcBorders>
            <w:tcMar>
              <w:top w:w="80" w:type="dxa"/>
              <w:bottom w:w="80" w:type="dxa"/>
            </w:tcMar>
          </w:tcPr>
          <w:p w14:paraId="6FC21066" w14:textId="77777777" w:rsidR="00B16640" w:rsidRDefault="00000000">
            <w:pPr>
              <w:pStyle w:val="normal1"/>
              <w:rPr>
                <w:rFonts w:ascii="Comfortaa" w:hAnsi="Comfortaa"/>
                <w:b/>
                <w:bCs/>
                <w:shd w:val="clear" w:color="auto" w:fill="FFFFFF"/>
              </w:rPr>
            </w:pPr>
            <w:sdt>
              <w:sdtPr>
                <w:tag w:val="goog_rdk_0"/>
                <w:id w:val="-1666908372"/>
              </w:sdtPr>
              <w:sdtContent>
                <w:r>
                  <w:rPr>
                    <w:rFonts w:ascii="Comfortaa" w:hAnsi="Comfortaa"/>
                    <w:b/>
                    <w:bCs/>
                    <w:shd w:val="clear" w:color="auto" w:fill="FFFFFF"/>
                  </w:rPr>
                  <w:t>Emisiones directas de CO₂</w:t>
                </w:r>
              </w:sdtContent>
            </w:sdt>
          </w:p>
        </w:tc>
        <w:tc>
          <w:tcPr>
            <w:tcW w:w="6463" w:type="dxa"/>
            <w:tcBorders>
              <w:top w:val="single" w:sz="4" w:space="0" w:color="B7C9D6"/>
              <w:left w:val="single" w:sz="4" w:space="0" w:color="B7C9D6"/>
              <w:bottom w:val="single" w:sz="4" w:space="0" w:color="B7C9D6"/>
              <w:right w:val="single" w:sz="4" w:space="0" w:color="B7C9D6"/>
            </w:tcBorders>
            <w:tcMar>
              <w:top w:w="80" w:type="dxa"/>
              <w:bottom w:w="80" w:type="dxa"/>
            </w:tcMar>
          </w:tcPr>
          <w:p w14:paraId="02FC13DE" w14:textId="48F6757E" w:rsidR="00B16640" w:rsidRDefault="00000000">
            <w:pPr>
              <w:pStyle w:val="normal1"/>
              <w:rPr>
                <w:rFonts w:ascii="Comfortaa" w:eastAsia="Comfortaa" w:hAnsi="Comfortaa" w:cs="Comfortaa"/>
              </w:rPr>
            </w:pPr>
            <w:r>
              <w:rPr>
                <w:rFonts w:ascii="Comfortaa" w:eastAsia="Comfortaa" w:hAnsi="Comfortaa" w:cs="Comfortaa"/>
              </w:rPr>
              <w:t xml:space="preserve">296.874 t/año con recuperación ORC; 307.175 t/año en el caso base </w:t>
            </w:r>
            <w:r w:rsidR="00555F54">
              <w:rPr>
                <w:rFonts w:ascii="Comfortaa" w:eastAsia="Comfortaa" w:hAnsi="Comfortaa" w:cs="Comfortaa"/>
              </w:rPr>
              <w:t>(Proyecto</w:t>
            </w:r>
            <w:r>
              <w:rPr>
                <w:rFonts w:ascii="Comfortaa" w:eastAsia="Comfortaa" w:hAnsi="Comfortaa" w:cs="Comfortaa"/>
              </w:rPr>
              <w:t xml:space="preserve"> básico de AAI expuesto en periodo de información </w:t>
            </w:r>
            <w:r w:rsidR="00555F54">
              <w:rPr>
                <w:rFonts w:ascii="Comfortaa" w:eastAsia="Comfortaa" w:hAnsi="Comfortaa" w:cs="Comfortaa"/>
              </w:rPr>
              <w:t>pública págs.</w:t>
            </w:r>
            <w:r>
              <w:rPr>
                <w:rFonts w:ascii="Comfortaa" w:eastAsia="Comfortaa" w:hAnsi="Comfortaa" w:cs="Comfortaa"/>
              </w:rPr>
              <w:t xml:space="preserve"> 125 y 128–129)</w:t>
            </w:r>
          </w:p>
        </w:tc>
      </w:tr>
      <w:tr w:rsidR="00B16640" w14:paraId="2110B184" w14:textId="77777777">
        <w:trPr>
          <w:cantSplit/>
          <w:jc w:val="center"/>
        </w:trPr>
        <w:tc>
          <w:tcPr>
            <w:tcW w:w="2891" w:type="dxa"/>
            <w:tcBorders>
              <w:top w:val="single" w:sz="4" w:space="0" w:color="B7C9D6"/>
              <w:left w:val="single" w:sz="4" w:space="0" w:color="B7C9D6"/>
              <w:bottom w:val="single" w:sz="4" w:space="0" w:color="B7C9D6"/>
              <w:right w:val="single" w:sz="4" w:space="0" w:color="B7C9D6"/>
            </w:tcBorders>
            <w:tcMar>
              <w:top w:w="80" w:type="dxa"/>
              <w:bottom w:w="80" w:type="dxa"/>
            </w:tcMar>
          </w:tcPr>
          <w:p w14:paraId="6ADD3370" w14:textId="77777777" w:rsidR="00B16640" w:rsidRDefault="00000000">
            <w:pPr>
              <w:pStyle w:val="normal1"/>
              <w:rPr>
                <w:rFonts w:ascii="Comfortaa" w:eastAsia="Comfortaa" w:hAnsi="Comfortaa" w:cs="Comfortaa"/>
              </w:rPr>
            </w:pPr>
            <w:r>
              <w:rPr>
                <w:rFonts w:ascii="Comfortaa" w:eastAsia="Comfortaa" w:hAnsi="Comfortaa" w:cs="Comfortaa"/>
                <w:b/>
                <w:bCs/>
              </w:rPr>
              <w:t>Combustibles</w:t>
            </w:r>
          </w:p>
        </w:tc>
        <w:tc>
          <w:tcPr>
            <w:tcW w:w="6463" w:type="dxa"/>
            <w:tcBorders>
              <w:top w:val="single" w:sz="4" w:space="0" w:color="B7C9D6"/>
              <w:left w:val="single" w:sz="4" w:space="0" w:color="B7C9D6"/>
              <w:bottom w:val="single" w:sz="4" w:space="0" w:color="B7C9D6"/>
              <w:right w:val="single" w:sz="4" w:space="0" w:color="B7C9D6"/>
            </w:tcBorders>
            <w:tcMar>
              <w:top w:w="80" w:type="dxa"/>
              <w:bottom w:w="80" w:type="dxa"/>
            </w:tcMar>
          </w:tcPr>
          <w:p w14:paraId="430B3C2F" w14:textId="289BEB32" w:rsidR="00B16640" w:rsidRDefault="00000000">
            <w:pPr>
              <w:pStyle w:val="normal1"/>
              <w:rPr>
                <w:rFonts w:ascii="Comfortaa" w:eastAsia="Comfortaa" w:hAnsi="Comfortaa" w:cs="Comfortaa"/>
              </w:rPr>
            </w:pPr>
            <w:r>
              <w:rPr>
                <w:rFonts w:ascii="Comfortaa" w:eastAsia="Comfortaa" w:hAnsi="Comfortaa" w:cs="Comfortaa"/>
              </w:rPr>
              <w:t xml:space="preserve">Gas natural: 1.501 GWh PCI/año y 141.529.596 Nm³/año; gasóleo piloto: 15 GWh/año </w:t>
            </w:r>
            <w:r w:rsidR="00555F54">
              <w:rPr>
                <w:rFonts w:ascii="Comfortaa" w:eastAsia="Comfortaa" w:hAnsi="Comfortaa" w:cs="Comfortaa"/>
              </w:rPr>
              <w:t>(Proyecto</w:t>
            </w:r>
            <w:r>
              <w:rPr>
                <w:rFonts w:ascii="Comfortaa" w:eastAsia="Comfortaa" w:hAnsi="Comfortaa" w:cs="Comfortaa"/>
              </w:rPr>
              <w:t xml:space="preserve"> básico de AAI expuesto en periodo de información </w:t>
            </w:r>
            <w:r w:rsidR="00555F54">
              <w:rPr>
                <w:rFonts w:ascii="Comfortaa" w:eastAsia="Comfortaa" w:hAnsi="Comfortaa" w:cs="Comfortaa"/>
              </w:rPr>
              <w:t>pública págs.</w:t>
            </w:r>
            <w:r>
              <w:rPr>
                <w:rFonts w:ascii="Comfortaa" w:eastAsia="Comfortaa" w:hAnsi="Comfortaa" w:cs="Comfortaa"/>
              </w:rPr>
              <w:t xml:space="preserve"> 243 y 283)</w:t>
            </w:r>
          </w:p>
        </w:tc>
      </w:tr>
      <w:tr w:rsidR="00B16640" w14:paraId="68F801CA" w14:textId="77777777">
        <w:trPr>
          <w:cantSplit/>
          <w:jc w:val="center"/>
        </w:trPr>
        <w:tc>
          <w:tcPr>
            <w:tcW w:w="2891" w:type="dxa"/>
            <w:tcBorders>
              <w:top w:val="single" w:sz="4" w:space="0" w:color="B7C9D6"/>
              <w:left w:val="single" w:sz="4" w:space="0" w:color="B7C9D6"/>
              <w:bottom w:val="single" w:sz="4" w:space="0" w:color="B7C9D6"/>
              <w:right w:val="single" w:sz="4" w:space="0" w:color="B7C9D6"/>
            </w:tcBorders>
            <w:tcMar>
              <w:top w:w="80" w:type="dxa"/>
              <w:bottom w:w="80" w:type="dxa"/>
            </w:tcMar>
          </w:tcPr>
          <w:p w14:paraId="1876D1A6" w14:textId="77777777" w:rsidR="00B16640" w:rsidRDefault="00000000">
            <w:pPr>
              <w:pStyle w:val="normal1"/>
              <w:rPr>
                <w:rFonts w:ascii="Comfortaa" w:eastAsia="Comfortaa" w:hAnsi="Comfortaa" w:cs="Comfortaa"/>
              </w:rPr>
            </w:pPr>
            <w:r>
              <w:rPr>
                <w:rFonts w:ascii="Comfortaa" w:eastAsia="Comfortaa" w:hAnsi="Comfortaa" w:cs="Comfortaa"/>
                <w:b/>
                <w:bCs/>
              </w:rPr>
              <w:t>Agua y efluentes</w:t>
            </w:r>
          </w:p>
        </w:tc>
        <w:tc>
          <w:tcPr>
            <w:tcW w:w="6463" w:type="dxa"/>
            <w:tcBorders>
              <w:top w:val="single" w:sz="4" w:space="0" w:color="B7C9D6"/>
              <w:left w:val="single" w:sz="4" w:space="0" w:color="B7C9D6"/>
              <w:bottom w:val="single" w:sz="4" w:space="0" w:color="B7C9D6"/>
              <w:right w:val="single" w:sz="4" w:space="0" w:color="B7C9D6"/>
            </w:tcBorders>
            <w:tcMar>
              <w:top w:w="80" w:type="dxa"/>
              <w:bottom w:w="80" w:type="dxa"/>
            </w:tcMar>
          </w:tcPr>
          <w:p w14:paraId="215585BA" w14:textId="38CC6C49" w:rsidR="00B16640" w:rsidRDefault="00000000">
            <w:pPr>
              <w:pStyle w:val="normal1"/>
              <w:rPr>
                <w:rFonts w:ascii="Comfortaa" w:eastAsia="Comfortaa" w:hAnsi="Comfortaa" w:cs="Comfortaa"/>
              </w:rPr>
            </w:pPr>
            <w:r>
              <w:rPr>
                <w:rFonts w:ascii="Comfortaa" w:eastAsia="Comfortaa" w:hAnsi="Comfortaa" w:cs="Comfortaa"/>
              </w:rPr>
              <w:t xml:space="preserve">6.281,65 m³/año de agua potable; 11.911,6 m³/año no potable; 6.281,65 m³/año sanitarias; 1.100 m³/año de rechazo (Proyecto básico de AAI expuesto en periodo de información </w:t>
            </w:r>
            <w:r w:rsidR="00555F54">
              <w:rPr>
                <w:rFonts w:ascii="Comfortaa" w:eastAsia="Comfortaa" w:hAnsi="Comfortaa" w:cs="Comfortaa"/>
              </w:rPr>
              <w:t>pública págs.</w:t>
            </w:r>
            <w:r>
              <w:rPr>
                <w:rFonts w:ascii="Comfortaa" w:eastAsia="Comfortaa" w:hAnsi="Comfortaa" w:cs="Comfortaa"/>
              </w:rPr>
              <w:t xml:space="preserve"> 279–280 y 334–337)</w:t>
            </w:r>
          </w:p>
        </w:tc>
      </w:tr>
      <w:tr w:rsidR="00B16640" w14:paraId="306A7056" w14:textId="77777777">
        <w:trPr>
          <w:cantSplit/>
          <w:jc w:val="center"/>
        </w:trPr>
        <w:tc>
          <w:tcPr>
            <w:tcW w:w="2891" w:type="dxa"/>
            <w:tcBorders>
              <w:top w:val="single" w:sz="4" w:space="0" w:color="B7C9D6"/>
              <w:left w:val="single" w:sz="4" w:space="0" w:color="B7C9D6"/>
              <w:bottom w:val="single" w:sz="4" w:space="0" w:color="B7C9D6"/>
              <w:right w:val="single" w:sz="4" w:space="0" w:color="B7C9D6"/>
            </w:tcBorders>
            <w:tcMar>
              <w:top w:w="80" w:type="dxa"/>
              <w:bottom w:w="80" w:type="dxa"/>
            </w:tcMar>
          </w:tcPr>
          <w:p w14:paraId="0D699EB1" w14:textId="77777777" w:rsidR="00B16640" w:rsidRDefault="00000000">
            <w:pPr>
              <w:pStyle w:val="normal1"/>
              <w:rPr>
                <w:rFonts w:ascii="Comfortaa" w:eastAsia="Comfortaa" w:hAnsi="Comfortaa" w:cs="Comfortaa"/>
              </w:rPr>
            </w:pPr>
            <w:r>
              <w:rPr>
                <w:rFonts w:ascii="Comfortaa" w:eastAsia="Comfortaa" w:hAnsi="Comfortaa" w:cs="Comfortaa"/>
                <w:b/>
                <w:bCs/>
              </w:rPr>
              <w:t>Movimiento de tierras</w:t>
            </w:r>
          </w:p>
        </w:tc>
        <w:tc>
          <w:tcPr>
            <w:tcW w:w="6463" w:type="dxa"/>
            <w:tcBorders>
              <w:top w:val="single" w:sz="4" w:space="0" w:color="B7C9D6"/>
              <w:left w:val="single" w:sz="4" w:space="0" w:color="B7C9D6"/>
              <w:bottom w:val="single" w:sz="4" w:space="0" w:color="B7C9D6"/>
              <w:right w:val="single" w:sz="4" w:space="0" w:color="B7C9D6"/>
            </w:tcBorders>
            <w:tcMar>
              <w:top w:w="80" w:type="dxa"/>
              <w:bottom w:w="80" w:type="dxa"/>
            </w:tcMar>
          </w:tcPr>
          <w:p w14:paraId="27F9ACE4" w14:textId="44AA7DC1" w:rsidR="00B16640" w:rsidRDefault="00000000">
            <w:pPr>
              <w:pStyle w:val="normal1"/>
              <w:rPr>
                <w:rFonts w:ascii="Comfortaa" w:eastAsia="Comfortaa" w:hAnsi="Comfortaa" w:cs="Comfortaa"/>
              </w:rPr>
            </w:pPr>
            <w:r>
              <w:rPr>
                <w:rFonts w:ascii="Comfortaa" w:eastAsia="Comfortaa" w:hAnsi="Comfortaa" w:cs="Comfortaa"/>
              </w:rPr>
              <w:t xml:space="preserve">Estimación preliminar de 1.049.866 m³ </w:t>
            </w:r>
            <w:r w:rsidR="00555F54">
              <w:rPr>
                <w:rFonts w:ascii="Comfortaa" w:eastAsia="Comfortaa" w:hAnsi="Comfortaa" w:cs="Comfortaa"/>
              </w:rPr>
              <w:t>(Proyecto</w:t>
            </w:r>
            <w:r>
              <w:rPr>
                <w:rFonts w:ascii="Comfortaa" w:eastAsia="Comfortaa" w:hAnsi="Comfortaa" w:cs="Comfortaa"/>
              </w:rPr>
              <w:t xml:space="preserve"> básico de AAI expuesto en periodo de información </w:t>
            </w:r>
            <w:r w:rsidR="00555F54">
              <w:rPr>
                <w:rFonts w:ascii="Comfortaa" w:eastAsia="Comfortaa" w:hAnsi="Comfortaa" w:cs="Comfortaa"/>
              </w:rPr>
              <w:t>pública pág.</w:t>
            </w:r>
            <w:r>
              <w:rPr>
                <w:rFonts w:ascii="Comfortaa" w:eastAsia="Comfortaa" w:hAnsi="Comfortaa" w:cs="Comfortaa"/>
              </w:rPr>
              <w:t xml:space="preserve"> 244)</w:t>
            </w:r>
          </w:p>
        </w:tc>
      </w:tr>
    </w:tbl>
    <w:p w14:paraId="7E644DFC" w14:textId="77777777" w:rsidR="00B16640" w:rsidRDefault="00B16640">
      <w:pPr>
        <w:pStyle w:val="normal1"/>
        <w:rPr>
          <w:rFonts w:ascii="Comfortaa" w:eastAsia="Comfortaa" w:hAnsi="Comfortaa" w:cs="Comfortaa"/>
        </w:rPr>
      </w:pPr>
    </w:p>
    <w:p w14:paraId="6910A5F8" w14:textId="77777777" w:rsidR="00B16640" w:rsidRDefault="00000000">
      <w:pPr>
        <w:pStyle w:val="normal1"/>
        <w:keepLines/>
        <w:widowControl/>
        <w:spacing w:after="100" w:line="252" w:lineRule="auto"/>
        <w:rPr>
          <w:rFonts w:ascii="Comfortaa" w:eastAsia="Comfortaa" w:hAnsi="Comfortaa" w:cs="Comfortaa"/>
          <w:i/>
          <w:iCs/>
          <w:sz w:val="17"/>
          <w:szCs w:val="17"/>
        </w:rPr>
      </w:pPr>
      <w:r>
        <w:rPr>
          <w:rFonts w:ascii="Comfortaa" w:eastAsia="Comfortaa" w:hAnsi="Comfortaa" w:cs="Comfortaa"/>
          <w:i/>
          <w:iCs/>
          <w:sz w:val="17"/>
          <w:szCs w:val="17"/>
        </w:rPr>
        <w:t xml:space="preserve">Fuentes: proyecto básico, resumen no técnico y listado de equipos eléctricos ZAMDC-CO-LST-0004, </w:t>
      </w:r>
      <w:proofErr w:type="spellStart"/>
      <w:r>
        <w:rPr>
          <w:rFonts w:ascii="Comfortaa" w:eastAsia="Comfortaa" w:hAnsi="Comfortaa" w:cs="Comfortaa"/>
          <w:i/>
          <w:iCs/>
          <w:sz w:val="17"/>
          <w:szCs w:val="17"/>
        </w:rPr>
        <w:t>rev.</w:t>
      </w:r>
      <w:proofErr w:type="spellEnd"/>
      <w:r>
        <w:rPr>
          <w:rFonts w:ascii="Comfortaa" w:eastAsia="Comfortaa" w:hAnsi="Comfortaa" w:cs="Comfortaa"/>
          <w:i/>
          <w:iCs/>
          <w:sz w:val="17"/>
          <w:szCs w:val="17"/>
        </w:rPr>
        <w:t xml:space="preserve"> 03. Las discrepancias se desarrollan en la alegación segunda.</w:t>
      </w:r>
    </w:p>
    <w:p w14:paraId="3EBC0AD0" w14:textId="77777777" w:rsidR="00B16640" w:rsidRDefault="00B16640">
      <w:pPr>
        <w:pStyle w:val="normal1"/>
        <w:keepLines/>
        <w:widowControl/>
        <w:spacing w:after="100" w:line="252" w:lineRule="auto"/>
        <w:rPr>
          <w:rFonts w:ascii="Comfortaa" w:eastAsia="Comfortaa" w:hAnsi="Comfortaa" w:cs="Comfortaa"/>
          <w:i/>
          <w:iCs/>
          <w:sz w:val="17"/>
          <w:szCs w:val="17"/>
        </w:rPr>
      </w:pPr>
    </w:p>
    <w:p w14:paraId="4EF7A0BB" w14:textId="77777777" w:rsidR="00B16640" w:rsidRDefault="00B16640">
      <w:pPr>
        <w:pStyle w:val="normal1"/>
        <w:keepLines/>
        <w:widowControl/>
        <w:spacing w:after="100" w:line="252" w:lineRule="auto"/>
        <w:rPr>
          <w:rFonts w:ascii="Comfortaa" w:eastAsia="Comfortaa" w:hAnsi="Comfortaa" w:cs="Comfortaa"/>
          <w:i/>
          <w:iCs/>
          <w:sz w:val="17"/>
          <w:szCs w:val="17"/>
        </w:rPr>
      </w:pPr>
    </w:p>
    <w:p w14:paraId="0CDE179A" w14:textId="77777777" w:rsidR="00B16640" w:rsidRDefault="00000000">
      <w:pPr>
        <w:pStyle w:val="Ttulo1"/>
        <w:keepLines/>
        <w:numPr>
          <w:ilvl w:val="0"/>
          <w:numId w:val="1"/>
        </w:numPr>
        <w:jc w:val="center"/>
      </w:pPr>
      <w:r>
        <w:rPr>
          <w:rFonts w:ascii="Comfortaa" w:eastAsia="Comfortaa" w:hAnsi="Comfortaa" w:cs="Comfortaa"/>
          <w:color w:val="000000"/>
          <w:sz w:val="28"/>
          <w:szCs w:val="28"/>
        </w:rPr>
        <w:t>ALEGACIONES</w:t>
      </w:r>
    </w:p>
    <w:p w14:paraId="3F3C377A"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PRIMERA. Integridad del expediente y participación pública efectiva</w:t>
      </w:r>
    </w:p>
    <w:p w14:paraId="04291692"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El artículo 16 del texto refundido de la Ley de prevención y control integrados de la contaminación exige someter a información pública la documentación completa; los artículos 36 y 39 de la Ley 21/2013 exigen que el proyecto y el estudio de impacto ambiental puedan examinarse de forma efectiva. El artículo 14 del citado texto refundido reconoce una participación real y efectiva, y su anejo 4 exige identificar las decisiones, autoridades e informes relevantes.</w:t>
      </w:r>
    </w:p>
    <w:p w14:paraId="37538AF3" w14:textId="2A2B1BE1"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 xml:space="preserve">El propio proyecto básico afirma que el estudio de impacto ambiental se adjunta como documento independiente (Proyecto básico de </w:t>
      </w:r>
      <w:r w:rsidR="00555F54">
        <w:rPr>
          <w:rFonts w:ascii="Comfortaa" w:eastAsia="Comfortaa" w:hAnsi="Comfortaa" w:cs="Comfortaa"/>
        </w:rPr>
        <w:t>AAI págs.</w:t>
      </w:r>
      <w:r>
        <w:rPr>
          <w:rFonts w:ascii="Comfortaa" w:eastAsia="Comfortaa" w:hAnsi="Comfortaa" w:cs="Comfortaa"/>
        </w:rPr>
        <w:t xml:space="preserve"> 22–23). Sin embargo, dicho documento no se ha localizado entre los tres archivos públicos examinados: proyecto básico, resumen no técnico y planos. Por ello no puede comprobarse si reúne el contenido del anexo VI de la Ley 21/2013. Esta conclusión se limita a la documentación examinada y no afirma que el estudio no obre en el expediente administrativo. Tampoco se ofrece un índice maestro que identifique cada archivo, versión, fecha, autoría, relación de anexos y correspondencia entre documentos.</w:t>
      </w:r>
    </w:p>
    <w:p w14:paraId="1B0650B1"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No se sostiene aquí que todo informe deba existir antes de abrir el trámite. Sí se pide que, cuando se reciba documentación nueva o se subsanen carencias que alteren materialmente el proyecto o su evaluación, se valore la reapertura o repetición de la información pública para preservar la participación efectiva.</w:t>
      </w:r>
    </w:p>
    <w:p w14:paraId="5C52438E"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lastRenderedPageBreak/>
        <w:t>SEGUNDA. Discrepancias materiales y falta de fijación inequívoca del alcance</w:t>
      </w:r>
    </w:p>
    <w:p w14:paraId="5AF693B3"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La autorización debe recaer sobre una configuración técnica única. Sin embargo, la documentación contiene diferencias que afectan a emisiones, seguridad, consumos y dimensionamiento de medidas:</w:t>
      </w:r>
    </w:p>
    <w:p w14:paraId="408D1032"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 xml:space="preserve">BESS: las págs. 59 y 121 del Proyecto básico de AAI refieren 1.226 MW y 4.817 </w:t>
      </w:r>
      <w:proofErr w:type="spellStart"/>
      <w:r>
        <w:rPr>
          <w:rFonts w:ascii="Comfortaa" w:eastAsia="Comfortaa" w:hAnsi="Comfortaa" w:cs="Comfortaa"/>
        </w:rPr>
        <w:t>MWh</w:t>
      </w:r>
      <w:proofErr w:type="spellEnd"/>
      <w:r>
        <w:rPr>
          <w:rFonts w:ascii="Comfortaa" w:eastAsia="Comfortaa" w:hAnsi="Comfortaa" w:cs="Comfortaa"/>
        </w:rPr>
        <w:t xml:space="preserve">, mientras que el listado eléctrico ZAMDC-CO-LST-0004, </w:t>
      </w:r>
      <w:proofErr w:type="spellStart"/>
      <w:r>
        <w:rPr>
          <w:rFonts w:ascii="Comfortaa" w:eastAsia="Comfortaa" w:hAnsi="Comfortaa" w:cs="Comfortaa"/>
        </w:rPr>
        <w:t>rev.</w:t>
      </w:r>
      <w:proofErr w:type="spellEnd"/>
      <w:r>
        <w:rPr>
          <w:rFonts w:ascii="Comfortaa" w:eastAsia="Comfortaa" w:hAnsi="Comfortaa" w:cs="Comfortaa"/>
        </w:rPr>
        <w:t xml:space="preserve"> 03, recoge 1.140 MW y 4.562 </w:t>
      </w:r>
      <w:proofErr w:type="spellStart"/>
      <w:r>
        <w:rPr>
          <w:rFonts w:ascii="Comfortaa" w:eastAsia="Comfortaa" w:hAnsi="Comfortaa" w:cs="Comfortaa"/>
        </w:rPr>
        <w:t>MWh</w:t>
      </w:r>
      <w:proofErr w:type="spellEnd"/>
      <w:r>
        <w:rPr>
          <w:rFonts w:ascii="Comfortaa" w:eastAsia="Comfortaa" w:hAnsi="Comfortaa" w:cs="Comfortaa"/>
        </w:rPr>
        <w:t xml:space="preserve"> (Proyecto básico de AAI pág. 680).</w:t>
      </w:r>
    </w:p>
    <w:p w14:paraId="7EB323A7"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Gasóleo piloto: para los mismos 15 GWh PCI/año se indican 1.500 m³/año en la pág. 243 y 1.053 m³/año en la pág. 283 del Proyecto básico de AAI expuesto en periodo de información pública. La diferencia debe conciliarse por su incidencia en tráfico y balances de combustible.</w:t>
      </w:r>
    </w:p>
    <w:p w14:paraId="396BC789" w14:textId="5890F436"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 xml:space="preserve">Demanda eléctrica: la pág. 282 del Proyecto básico de AAI expuesto en trámite de información </w:t>
      </w:r>
      <w:r w:rsidR="00555F54">
        <w:rPr>
          <w:rFonts w:ascii="Comfortaa" w:eastAsia="Comfortaa" w:hAnsi="Comfortaa" w:cs="Comfortaa"/>
        </w:rPr>
        <w:t>pública, escribe</w:t>
      </w:r>
      <w:r>
        <w:rPr>
          <w:rFonts w:ascii="Comfortaa" w:eastAsia="Comfortaa" w:hAnsi="Comfortaa" w:cs="Comfortaa"/>
        </w:rPr>
        <w:t xml:space="preserve"> «2.255.489 kWh/año», pero su tabla 78 y </w:t>
      </w:r>
      <w:r w:rsidR="00555F54">
        <w:rPr>
          <w:rFonts w:ascii="Comfortaa" w:eastAsia="Comfortaa" w:hAnsi="Comfortaa" w:cs="Comfortaa"/>
        </w:rPr>
        <w:t>las págs.</w:t>
      </w:r>
      <w:r>
        <w:rPr>
          <w:rFonts w:ascii="Comfortaa" w:eastAsia="Comfortaa" w:hAnsi="Comfortaa" w:cs="Comfortaa"/>
        </w:rPr>
        <w:t xml:space="preserve"> 125 y 283 del Proyecto básico de AAI expuesto en periodo de información pública expresan 2.255 GWh/año. La diferencia de tres órdenes de magnitud exige corregir la unidad.</w:t>
      </w:r>
    </w:p>
    <w:p w14:paraId="76D2B4FF"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Aguas: las secciones de las págs. 334–336 del Proyecto básico de AAI expuesto en periodo de información pública, definen los flujos 1 a 5, pero la tabla de la pág.  337 intercambia la numeración del rechazo de la PTA y las pluviales. Debe corregirse la trazabilidad de cada flujo.</w:t>
      </w:r>
    </w:p>
    <w:p w14:paraId="0C769FDD"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 xml:space="preserve">Grupos diésel: se identifican los focos F25–F29 (Proyecto básico de AAI págs. 296–297), que deben conciliarse con los equipos de emergencia, </w:t>
      </w:r>
      <w:proofErr w:type="spellStart"/>
      <w:r>
        <w:rPr>
          <w:rFonts w:ascii="Comfortaa" w:eastAsia="Comfortaa" w:hAnsi="Comfortaa" w:cs="Comfortaa"/>
        </w:rPr>
        <w:t>black-start</w:t>
      </w:r>
      <w:proofErr w:type="spellEnd"/>
      <w:r>
        <w:rPr>
          <w:rFonts w:ascii="Comfortaa" w:eastAsia="Comfortaa" w:hAnsi="Comfortaa" w:cs="Comfortaa"/>
        </w:rPr>
        <w:t xml:space="preserve"> y generación temporal previstos en cada fase.</w:t>
      </w:r>
    </w:p>
    <w:p w14:paraId="3DDF9343"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Urea: se citan 900 t/año y seis depósitos de 1.500 m³ (Proyecto básico de AAI pág. 277). Deben confirmarse concentración, densidad, volumen útil, cubetos y clasificación de peligro; la mera capacidad, por sí sola, no acredita la aplicación del régimen de accidentes graves.</w:t>
      </w:r>
    </w:p>
    <w:p w14:paraId="45215119"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Titularidad y responsabilidades: el proyecto básico menciona a FRV-X RENEWABLE, S.L.U. y a EDISON NEXT SPAIN, S.L.U. como promotores (Proyecto básico de AAI pág. 20). Deben fijarse titular de la AAI, operador y responsables de cada infraestructura compartida.</w:t>
      </w:r>
    </w:p>
    <w:p w14:paraId="2A310B2B"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No basta con escoger informalmente una cifra. Debe emitirse una memoria de subsanación firmada, una tabla de documentos vigentes y un balance coherente de masa y energía; las versiones sustituidas han de quedar expresamente identificadas.</w:t>
      </w:r>
    </w:p>
    <w:p w14:paraId="3686375B"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TERCERA. Obras, fases y generación temporal insuficientemente caracterizadas</w:t>
      </w:r>
    </w:p>
    <w:p w14:paraId="56066384"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La pág. 244 del Proyecto básico de AAI expuesto en periodo de información pública, prevé cinco fases: una primera de aproximadamente 18 meses más 4 meses adicionales y las siguientes con inicio cada seis meses. También contempla generación temporal para las obras y la puesta en servicio de un sistema aislado, pero no define por fase el número y potencia de grupos, combustible, horas, cargas, ubicación, chimeneas, emisiones, ruido, almacenamiento, tráfico de cisternas ni coexistencia con equipos definitivos.</w:t>
      </w:r>
    </w:p>
    <w:p w14:paraId="57634F4A" w14:textId="77777777" w:rsidR="00845E75" w:rsidRDefault="00000000" w:rsidP="00845E75">
      <w:pPr>
        <w:pStyle w:val="normal1"/>
        <w:keepLines/>
        <w:spacing w:after="100" w:line="252" w:lineRule="auto"/>
        <w:jc w:val="both"/>
        <w:rPr>
          <w:rFonts w:ascii="Comfortaa" w:eastAsia="Comfortaa" w:hAnsi="Comfortaa" w:cs="Comfortaa"/>
        </w:rPr>
      </w:pPr>
      <w:r>
        <w:rPr>
          <w:rFonts w:ascii="Comfortaa" w:eastAsia="Comfortaa" w:hAnsi="Comfortaa" w:cs="Comfortaa"/>
        </w:rPr>
        <w:tab/>
        <w:t>La magnitud preliminar del movimiento de tierra, 1.049.866 m</w:t>
      </w:r>
      <w:proofErr w:type="gramStart"/>
      <w:r>
        <w:rPr>
          <w:rFonts w:ascii="Comfortaa" w:eastAsia="Comfortaa" w:hAnsi="Comfortaa" w:cs="Comfortaa"/>
        </w:rPr>
        <w:t>³,  obliga</w:t>
      </w:r>
      <w:proofErr w:type="gramEnd"/>
      <w:r>
        <w:rPr>
          <w:rFonts w:ascii="Comfortaa" w:eastAsia="Comfortaa" w:hAnsi="Comfortaa" w:cs="Comfortaa"/>
        </w:rPr>
        <w:t xml:space="preserve"> además a concretar balance de tierras, acopios, préstamos, excedentes, itinerarios, polvo, erosión, drenaje provisional y restauración. Estos impactos no pueden quedar remitidos íntegramente a futuros proyectos de obra, pues condicionan la evaluación ambiental del diseño ahora autorizado.</w:t>
      </w:r>
    </w:p>
    <w:p w14:paraId="6F36FC32" w14:textId="2CCD347C" w:rsidR="00B16640" w:rsidRPr="00845E75" w:rsidRDefault="00000000" w:rsidP="00845E75">
      <w:pPr>
        <w:pStyle w:val="Ttulo2"/>
        <w:keepLines/>
        <w:numPr>
          <w:ilvl w:val="1"/>
          <w:numId w:val="1"/>
        </w:numPr>
        <w:rPr>
          <w:rFonts w:ascii="Comfortaa" w:eastAsia="Comfortaa" w:hAnsi="Comfortaa" w:cs="Comfortaa"/>
          <w:color w:val="000000"/>
        </w:rPr>
      </w:pPr>
      <w:r w:rsidRPr="00845E75">
        <w:rPr>
          <w:rFonts w:ascii="Comfortaa" w:eastAsia="Comfortaa" w:hAnsi="Comfortaa" w:cs="Comfortaa"/>
          <w:color w:val="000000"/>
        </w:rPr>
        <w:t>CUARTA. Inventario atmosférico incompleto y necesidad de reconciliar el formaldehído</w:t>
      </w:r>
    </w:p>
    <w:p w14:paraId="2B760BF1" w14:textId="77777777" w:rsidR="00B16640" w:rsidRDefault="00000000">
      <w:pPr>
        <w:pStyle w:val="normal1"/>
        <w:keepLines/>
        <w:spacing w:after="100" w:line="252" w:lineRule="auto"/>
        <w:jc w:val="both"/>
        <w:rPr>
          <w:rFonts w:ascii="Comfortaa" w:hAnsi="Comfortaa"/>
          <w:shd w:val="clear" w:color="auto" w:fill="FFFFFF"/>
        </w:rPr>
      </w:pPr>
      <w:r>
        <w:rPr>
          <w:rFonts w:ascii="Comfortaa" w:eastAsia="Caudex" w:hAnsi="Comfortaa" w:cs="Caudex"/>
          <w:shd w:val="clear" w:color="auto" w:fill="FFFFFF"/>
        </w:rPr>
        <w:tab/>
      </w:r>
      <w:sdt>
        <w:sdtPr>
          <w:tag w:val="goog_rdk_1"/>
          <w:id w:val="822722736"/>
        </w:sdtPr>
        <w:sdtContent>
          <w:r>
            <w:rPr>
              <w:rFonts w:ascii="Comfortaa" w:eastAsia="Caudex" w:hAnsi="Comfortaa" w:cs="Caudex"/>
              <w:shd w:val="clear" w:color="auto" w:fill="FFFFFF"/>
            </w:rPr>
            <w:t>El inventario regional estima 353,0 t/año de formaldehído, 55,9 t/año de acetaldehído, 34,4 t/año de acroleína, 2,9 t/año de benceno y 1,8 t/año de 1,3-butadieno (Proyecto básico de AAI págs. 614–617). El modelo local CALPUFF presenta resultados para CO, NOx/NO₂, partículas tratadas conjuntamente como PM10 y benceno (Proyecto básico de AAI págs. 563–595), pero no ofrece resultados locales individualizados para aquellos aldehídos ni para 1,3-butadieno.</w:t>
          </w:r>
        </w:sdtContent>
      </w:sdt>
    </w:p>
    <w:p w14:paraId="6AB4E71A"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lastRenderedPageBreak/>
        <w:tab/>
        <w:t>Existe además una cuestión de coherencia que debe explicarse. Como control de orden de magnitud, no como prueba de incumplimiento, 353 t/año divididas por el máximo teórico de 24 motores × 8.760 h/año × 92.700 Nm³/h por motor (caudal de las págs. PDF 293–297) equivalen a unos 18,1 mg/Nm³. Aplicando el horario del inventario CHIMERE: 2 motores durante 10 h/día y 16 durante 14 h/día, pág. PDF 614, resultan aproximadamente 42,8 mg/Nm³. Estas cifras no son directamente comparables con el valor de 15 mg/Nm³ citado en las págs. PDF 443–444 sin homogeneizar carga, caudal real, base seca o húmeda, oxígeno de referencia y condiciones normalizadas; precisamente por ello debe aportarse la reconciliación completa del balance anual.</w:t>
      </w:r>
    </w:p>
    <w:p w14:paraId="3912C662"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La eventual autorización debe fijar valores límite para los contaminantes significativos, métodos normalizados, incertidumbre, condiciones de referencia, frecuencia y régimen de operación anormal. Para formaldehído y otros tóxicos relevantes, una medición anual aislada no resulta suficiente sin una justificación técnica específica.</w:t>
      </w:r>
    </w:p>
    <w:p w14:paraId="205173B2"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QUINTA. Modelización de calidad del aire: dominio, meteorología, fondo y receptores</w:t>
      </w:r>
    </w:p>
    <w:p w14:paraId="6FD04230" w14:textId="3E954F0F"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 xml:space="preserve">El modelo local emplea CALPUFF, una malla de 50 × 50 celdas de 200 m (10 × 10 km) y meteorología WRF de enero a diciembre de 2025 </w:t>
      </w:r>
      <w:r w:rsidR="00555F54">
        <w:rPr>
          <w:rFonts w:ascii="Comfortaa" w:eastAsia="Comfortaa" w:hAnsi="Comfortaa" w:cs="Comfortaa"/>
        </w:rPr>
        <w:t>(Proyecto</w:t>
      </w:r>
      <w:r>
        <w:rPr>
          <w:rFonts w:ascii="Comfortaa" w:eastAsia="Comfortaa" w:hAnsi="Comfortaa" w:cs="Comfortaa"/>
        </w:rPr>
        <w:t xml:space="preserve"> básico de AAI págs. 545 y 550–555). La figura y la validación comparan el dominio de Zamora con una estación de León (Proyecto básico de AAI págs. 553 y 556), cuya representatividad debe justificarse. Se adopta uso rural y no se aplica transformación química en el modelo local </w:t>
      </w:r>
      <w:r w:rsidR="00555F54">
        <w:rPr>
          <w:rFonts w:ascii="Comfortaa" w:eastAsia="Comfortaa" w:hAnsi="Comfortaa" w:cs="Comfortaa"/>
        </w:rPr>
        <w:t>(Proyecto</w:t>
      </w:r>
      <w:r>
        <w:rPr>
          <w:rFonts w:ascii="Comfortaa" w:eastAsia="Comfortaa" w:hAnsi="Comfortaa" w:cs="Comfortaa"/>
        </w:rPr>
        <w:t xml:space="preserve"> básico de AAI pág. 551).</w:t>
      </w:r>
    </w:p>
    <w:p w14:paraId="23881311"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El anejo regional CHIMERE estudia formación fotoquímica a escala amplia, pero agrega las fuentes y trabaja con una resolución distinta. Esa evaluación no sustituye la dispersión local individualizada de tóxicos primarios, ni permite por sí sola conocer máximos horarios en viviendas, núcleos, centros sensibles o zonas de futura ocupación.</w:t>
      </w:r>
    </w:p>
    <w:p w14:paraId="36502EBF"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En el anejo local no se identifica una serie cuantitativa de fondo concreta ni una tabla que sume fondo y contribución del proyecto antes de comparar con los valores de calidad del aire. Deben documentarse la serie utilizada, su representatividad, el tratamiento de episodios y el criterio de combinación. También debe justificarse que el dominio cubre todos los receptores plausibles e incorporar el análisis acumulativo con tráfico, obras, instalaciones energéticas y demás focos presentes o razonablemente previsibles.</w:t>
      </w:r>
    </w:p>
    <w:p w14:paraId="3D1E1860" w14:textId="77777777" w:rsidR="00B16640" w:rsidRDefault="00000000">
      <w:pPr>
        <w:pStyle w:val="normal1"/>
        <w:keepLines/>
        <w:spacing w:after="100" w:line="252" w:lineRule="auto"/>
        <w:jc w:val="both"/>
        <w:rPr>
          <w:rFonts w:ascii="Comfortaa" w:hAnsi="Comfortaa"/>
          <w:shd w:val="clear" w:color="auto" w:fill="FFFFFF"/>
        </w:rPr>
      </w:pPr>
      <w:r>
        <w:rPr>
          <w:rFonts w:ascii="Comfortaa" w:eastAsia="Caudex" w:hAnsi="Comfortaa" w:cs="Caudex"/>
          <w:shd w:val="clear" w:color="auto" w:fill="FFFFFF"/>
        </w:rPr>
        <w:tab/>
      </w:r>
      <w:sdt>
        <w:sdtPr>
          <w:tag w:val="goog_rdk_2"/>
          <w:id w:val="304174267"/>
        </w:sdtPr>
        <w:sdtContent>
          <w:r>
            <w:rPr>
              <w:rFonts w:ascii="Comfortaa" w:eastAsia="Caudex" w:hAnsi="Comfortaa" w:cs="Caudex"/>
              <w:shd w:val="clear" w:color="auto" w:fill="FFFFFF"/>
            </w:rPr>
            <w:t>La nueva modelización deberá justificar al menos tres años meteorológicos representativos o explicar por qué una sola anualidad es conservadora; incluir análisis de sensibilidad; ubicar receptores discretos; presentar mapas con fondo y sin fondo; diferenciar PM10 y PM2,5; y evaluar NO₂, CO, partículas, benceno, formaldehído, acetaldehído, acroleína, 1,3-butadieno y los restantes contaminantes significativos.</w:t>
          </w:r>
        </w:sdtContent>
      </w:sdt>
    </w:p>
    <w:p w14:paraId="4699DD30"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SEXTA. Falta de una evaluación cuantitativa del impacto en la salud</w:t>
      </w:r>
    </w:p>
    <w:p w14:paraId="17C74AC3"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En los tres archivos públicos examinados no se ha localizado una evaluación cuantitativa que conecte el inventario de tóxicos de las págs. 614–617 del Proyecto básico de AAI expuesto en periodo de información pública, con concentraciones por receptor, exposición y población. Al no haberse localizado el estudio de impacto ambiental separado, tampoco puede comprobarse si ese análisis existe en otro documento. La comparación con límites de calidad del aire no basta para caracterizar compuestos sin valor límite ambiental específico ni los efectos crónicos, cancerígenos o acumulativos.</w:t>
      </w:r>
    </w:p>
    <w:p w14:paraId="538BE9E3"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Debe aportarse una evaluación de salud que identifique población residente y sensible, estructura por edades, centros educativos y asistenciales, escenarios agudo y crónico, vías de exposición, valores toxicológicos y suma de riesgos por órganos diana. Las conclusiones deben expresar cocientes de peligro y riesgo cancerígeno incremental, incertidumbre y medidas de reducción. El ámbito sanitario deberá derivarse de la dispersión modelizada y no de un radio arbitrario.</w:t>
      </w:r>
    </w:p>
    <w:p w14:paraId="39989B82"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lastRenderedPageBreak/>
        <w:t>SÉPTIMA. Ruido, baja frecuencia y descanso nocturno</w:t>
      </w:r>
    </w:p>
    <w:p w14:paraId="2E928F3D"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 xml:space="preserve">La línea de base procede de mediciones de los días 12 y 13 de noviembre de 2025 (Proyecto básico de AAI pág.  483), insuficientes para acreditar por sí solas la variabilidad estacional. El modelo sitúa R6 a 340 m, R7 a 843 m y R8, en el borde de </w:t>
      </w:r>
      <w:proofErr w:type="spellStart"/>
      <w:r>
        <w:rPr>
          <w:rFonts w:ascii="Comfortaa" w:eastAsia="Comfortaa" w:hAnsi="Comfortaa" w:cs="Comfortaa"/>
        </w:rPr>
        <w:t>Monfarracinos</w:t>
      </w:r>
      <w:proofErr w:type="spellEnd"/>
      <w:r>
        <w:rPr>
          <w:rFonts w:ascii="Comfortaa" w:eastAsia="Comfortaa" w:hAnsi="Comfortaa" w:cs="Comfortaa"/>
        </w:rPr>
        <w:t xml:space="preserve">, a 762 m (Proyecto básico de AAI pág. 507), y atribuye a la actividad 43,2, 40,7 y 39,4 </w:t>
      </w:r>
      <w:proofErr w:type="spellStart"/>
      <w:r>
        <w:rPr>
          <w:rFonts w:ascii="Comfortaa" w:eastAsia="Comfortaa" w:hAnsi="Comfortaa" w:cs="Comfortaa"/>
        </w:rPr>
        <w:t>dBA</w:t>
      </w:r>
      <w:proofErr w:type="spellEnd"/>
      <w:r>
        <w:rPr>
          <w:rFonts w:ascii="Comfortaa" w:eastAsia="Comfortaa" w:hAnsi="Comfortaa" w:cs="Comfortaa"/>
        </w:rPr>
        <w:t xml:space="preserve">, respectivamente (Proyecto básico de AAI pág. 512). El valor de R6 no constituye por sí mismo un incumplimiento del límite nocturno de 45 </w:t>
      </w:r>
      <w:proofErr w:type="spellStart"/>
      <w:r>
        <w:rPr>
          <w:rFonts w:ascii="Comfortaa" w:eastAsia="Comfortaa" w:hAnsi="Comfortaa" w:cs="Comfortaa"/>
        </w:rPr>
        <w:t>dBA</w:t>
      </w:r>
      <w:proofErr w:type="spellEnd"/>
      <w:r>
        <w:rPr>
          <w:rFonts w:ascii="Comfortaa" w:eastAsia="Comfortaa" w:hAnsi="Comfortaa" w:cs="Comfortaa"/>
        </w:rPr>
        <w:t xml:space="preserve"> para áreas tipo 2.</w:t>
      </w:r>
    </w:p>
    <w:p w14:paraId="478DD5CD"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 xml:space="preserve">No obstante, el anejo no documenta de forma reproducible si existen componentes tonales, impulsivas o de baja frecuencia ni aporta los espectros y magnitudes necesarios para calcular </w:t>
      </w:r>
      <w:proofErr w:type="spellStart"/>
      <w:r>
        <w:rPr>
          <w:rFonts w:ascii="Comfortaa" w:eastAsia="Comfortaa" w:hAnsi="Comfortaa" w:cs="Comfortaa"/>
        </w:rPr>
        <w:t>Kt</w:t>
      </w:r>
      <w:proofErr w:type="spellEnd"/>
      <w:r>
        <w:rPr>
          <w:rFonts w:ascii="Comfortaa" w:eastAsia="Comfortaa" w:hAnsi="Comfortaa" w:cs="Comfortaa"/>
        </w:rPr>
        <w:t xml:space="preserve">, Ki y </w:t>
      </w:r>
      <w:proofErr w:type="spellStart"/>
      <w:r>
        <w:rPr>
          <w:rFonts w:ascii="Comfortaa" w:eastAsia="Comfortaa" w:hAnsi="Comfortaa" w:cs="Comfortaa"/>
        </w:rPr>
        <w:t>Kf</w:t>
      </w:r>
      <w:proofErr w:type="spellEnd"/>
      <w:r>
        <w:rPr>
          <w:rFonts w:ascii="Comfortaa" w:eastAsia="Comfortaa" w:hAnsi="Comfortaa" w:cs="Comfortaa"/>
        </w:rPr>
        <w:t xml:space="preserve">. Conforme a los artículos 12 y 13.1 y al anexo I de la Ley 5/2009, si tales componentes exigen corrección deben utilizarse tanto el nivel corregido </w:t>
      </w:r>
      <w:proofErr w:type="spellStart"/>
      <w:proofErr w:type="gramStart"/>
      <w:r>
        <w:rPr>
          <w:rFonts w:ascii="Comfortaa" w:eastAsia="Comfortaa" w:hAnsi="Comfortaa" w:cs="Comfortaa"/>
        </w:rPr>
        <w:t>LKeq,T</w:t>
      </w:r>
      <w:proofErr w:type="spellEnd"/>
      <w:proofErr w:type="gramEnd"/>
      <w:r>
        <w:rPr>
          <w:rFonts w:ascii="Comfortaa" w:eastAsia="Comfortaa" w:hAnsi="Comfortaa" w:cs="Comfortaa"/>
        </w:rPr>
        <w:t xml:space="preserve"> como el ajuste de 5 dB previsto en el límite aplicable. Sin ambos términos no puede verificarse correctamente el cumplimiento; no procede sumar correcciones a 43,2 </w:t>
      </w:r>
      <w:proofErr w:type="spellStart"/>
      <w:r>
        <w:rPr>
          <w:rFonts w:ascii="Comfortaa" w:eastAsia="Comfortaa" w:hAnsi="Comfortaa" w:cs="Comfortaa"/>
        </w:rPr>
        <w:t>dBA</w:t>
      </w:r>
      <w:proofErr w:type="spellEnd"/>
      <w:r>
        <w:rPr>
          <w:rFonts w:ascii="Comfortaa" w:eastAsia="Comfortaa" w:hAnsi="Comfortaa" w:cs="Comfortaa"/>
        </w:rPr>
        <w:t xml:space="preserve"> y compararlas sin más con 45 </w:t>
      </w:r>
      <w:proofErr w:type="spellStart"/>
      <w:r>
        <w:rPr>
          <w:rFonts w:ascii="Comfortaa" w:eastAsia="Comfortaa" w:hAnsi="Comfortaa" w:cs="Comfortaa"/>
        </w:rPr>
        <w:t>dBA</w:t>
      </w:r>
      <w:proofErr w:type="spellEnd"/>
      <w:r>
        <w:rPr>
          <w:rFonts w:ascii="Comfortaa" w:eastAsia="Comfortaa" w:hAnsi="Comfortaa" w:cs="Comfortaa"/>
        </w:rPr>
        <w:t>.</w:t>
      </w:r>
    </w:p>
    <w:p w14:paraId="274FED9E"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 xml:space="preserve">Los niveles totales declarados: 47,1, 47,2 y 44,3 </w:t>
      </w:r>
      <w:proofErr w:type="spellStart"/>
      <w:r>
        <w:rPr>
          <w:rFonts w:ascii="Comfortaa" w:eastAsia="Comfortaa" w:hAnsi="Comfortaa" w:cs="Comfortaa"/>
        </w:rPr>
        <w:t>dBA</w:t>
      </w:r>
      <w:proofErr w:type="spellEnd"/>
      <w:r>
        <w:rPr>
          <w:rFonts w:ascii="Comfortaa" w:eastAsia="Comfortaa" w:hAnsi="Comfortaa" w:cs="Comfortaa"/>
        </w:rPr>
        <w:t xml:space="preserve"> en los receptores citados, deben contrastarse separadamente con los objetivos de calidad acústica que correspondan al área y a su situación urbanística. No es correcto sumar o comparar indistintamente el límite de inmisión de la actividad con el nivel ambiental total.</w:t>
      </w:r>
    </w:p>
    <w:p w14:paraId="405B9F90"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 xml:space="preserve">Se requiere inventario por fuente y banda de tercio de octava, coordenadas, altura, directividad, cerramientos, escenarios de puertas/rejillas abiertas, simultaneidad, tráfico, obras y emergencias; cálculo de </w:t>
      </w:r>
      <w:proofErr w:type="spellStart"/>
      <w:r>
        <w:rPr>
          <w:rFonts w:ascii="Comfortaa" w:eastAsia="Comfortaa" w:hAnsi="Comfortaa" w:cs="Comfortaa"/>
        </w:rPr>
        <w:t>LCeq</w:t>
      </w:r>
      <w:proofErr w:type="spellEnd"/>
      <w:r>
        <w:rPr>
          <w:rFonts w:ascii="Comfortaa" w:eastAsia="Comfortaa" w:hAnsi="Comfortaa" w:cs="Comfortaa"/>
        </w:rPr>
        <w:t xml:space="preserve"> y diferencia C–A; aplicación de </w:t>
      </w:r>
      <w:proofErr w:type="spellStart"/>
      <w:r>
        <w:rPr>
          <w:rFonts w:ascii="Comfortaa" w:eastAsia="Comfortaa" w:hAnsi="Comfortaa" w:cs="Comfortaa"/>
        </w:rPr>
        <w:t>Kt</w:t>
      </w:r>
      <w:proofErr w:type="spellEnd"/>
      <w:r>
        <w:rPr>
          <w:rFonts w:ascii="Comfortaa" w:eastAsia="Comfortaa" w:hAnsi="Comfortaa" w:cs="Comfortaa"/>
        </w:rPr>
        <w:t xml:space="preserve">, </w:t>
      </w:r>
      <w:proofErr w:type="spellStart"/>
      <w:r>
        <w:rPr>
          <w:rFonts w:ascii="Comfortaa" w:eastAsia="Comfortaa" w:hAnsi="Comfortaa" w:cs="Comfortaa"/>
        </w:rPr>
        <w:t>Kf</w:t>
      </w:r>
      <w:proofErr w:type="spellEnd"/>
      <w:r>
        <w:rPr>
          <w:rFonts w:ascii="Comfortaa" w:eastAsia="Comfortaa" w:hAnsi="Comfortaa" w:cs="Comfortaa"/>
        </w:rPr>
        <w:t xml:space="preserve"> y Ki; campaña de fondo representativa en varias estaciones; evaluación del sueño y de vibraciones; y verificación posterior en fachada y, cuando proceda, interior de recintos sensibles.</w:t>
      </w:r>
    </w:p>
    <w:p w14:paraId="16053700"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OCTAVA. Abastecimiento, aguas residuales y pluviales sin solución final suficientemente acreditada</w:t>
      </w:r>
    </w:p>
    <w:p w14:paraId="611BACC0"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Se declaran 6.281,65 m³/año de agua potable y 11.911,6 m³/año de agua no potable (Proyecto básico de AAI págs. 279–280), junto con 6.281,65 m³/año de aguas sanitarias, 1.100 m³/año de rechazo de la PTA y 350 m³/año de agua potencialmente contaminada gestionada externamente (Proyecto básico de AAI págs. 334–337). La documentación remite conexiones y condiciones de aceptación a futuras autorizaciones municipales, sin identificar de forma concluyente gestor, punto de entrega, capacidad disponible y tratamiento final.</w:t>
      </w:r>
    </w:p>
    <w:p w14:paraId="7DBF32F7"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Las aguas pluviales se estiman en 128.545,8 m³/año. Debe distinguirse pluvial limpia, potencialmente contaminada y agua de extinción; justificarse laminación, separadores, impermeabilización, válvulas de corte y destino en episodios de incendio. Antes de resolver han de constar los títulos o informes sectoriales que procedan, sin perjuicio de que el informe de la administración hidráulica del artículo 19 del texto refundido sea preceptivo específicamente cuando exista vertido directo al dominio público hidráulico.</w:t>
      </w:r>
    </w:p>
    <w:p w14:paraId="2B13192E"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NOVENA. Informe base de suelo y aguas subterráneas</w:t>
      </w:r>
    </w:p>
    <w:p w14:paraId="16B9BF79"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El proyecto propone cinco piezómetros y frecuencias de control de cinco años para aguas subterráneas y diez para suelo. Esa previsión no sustituye un informe base que permita una comparación cuantitativa futura y que refleje el estado no alterado por las obras. Aunque el artículo 12 del texto refundido exige el informe base antes del comienzo de la explotación cuando concurran sustancias peligrosas relevantes, para que sea representativo los sondeos y muestreos deben ejecutarse antes de movimientos de tierra susceptibles de modificar la situación inicial.</w:t>
      </w:r>
    </w:p>
    <w:p w14:paraId="6EF33C8D"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El informe debe justificar red y gradiente hidrogeológico, profundidad y estacionalidad, parámetros analíticos vinculados a gasóleo, aceites, fluidos térmicos, refrigerantes, electrolitos y productos de extinción, límites de cuantificación, QA/QC y umbrales de actuación. La frecuencia posterior debe ser proporcional al riesgo y reforzarse tras incidentes.</w:t>
      </w:r>
    </w:p>
    <w:p w14:paraId="0466E4E3"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lastRenderedPageBreak/>
        <w:t>DÉCIMA. Clima, eficiencia energética, alternativas y aprovechamiento de calor</w:t>
      </w:r>
    </w:p>
    <w:p w14:paraId="7A678F16" w14:textId="77777777" w:rsidR="00B16640" w:rsidRDefault="00000000">
      <w:pPr>
        <w:pStyle w:val="normal1"/>
        <w:keepLines/>
        <w:spacing w:after="100" w:line="252" w:lineRule="auto"/>
        <w:jc w:val="both"/>
        <w:rPr>
          <w:rFonts w:ascii="Comfortaa" w:hAnsi="Comfortaa"/>
          <w:shd w:val="clear" w:color="auto" w:fill="FFFFFF"/>
        </w:rPr>
      </w:pPr>
      <w:r>
        <w:rPr>
          <w:rFonts w:ascii="Comfortaa" w:eastAsia="Caudex" w:hAnsi="Comfortaa" w:cs="Caudex"/>
          <w:shd w:val="clear" w:color="auto" w:fill="FFFFFF"/>
        </w:rPr>
        <w:tab/>
      </w:r>
      <w:sdt>
        <w:sdtPr>
          <w:tag w:val="goog_rdk_3"/>
          <w:id w:val="-1202373385"/>
        </w:sdtPr>
        <w:sdtContent>
          <w:r>
            <w:rPr>
              <w:rFonts w:ascii="Comfortaa" w:eastAsia="Caudex" w:hAnsi="Comfortaa" w:cs="Caudex"/>
              <w:shd w:val="clear" w:color="auto" w:fill="FFFFFF"/>
            </w:rPr>
            <w:t>La demanda eléctrica anual declarada del centro de datos asciende a 2.255 GWh y las emisiones directas de CO₂, tras la recuperación ORC, a 296.874 t/año. Por su escala, el estudio debe cuantificar emisiones de ciclo de vida y emisiones indirectas, explicar los factores de emisión y evaluar la coherencia climática y la vulnerabilidad frente a calor extremo, sequía e incendios.</w:t>
          </w:r>
        </w:sdtContent>
      </w:sdt>
    </w:p>
    <w:p w14:paraId="71E928CA" w14:textId="77777777" w:rsidR="00B16640" w:rsidRDefault="00000000">
      <w:pPr>
        <w:pStyle w:val="normal1"/>
        <w:keepLines/>
        <w:spacing w:after="100" w:line="252" w:lineRule="auto"/>
        <w:jc w:val="both"/>
        <w:rPr>
          <w:rFonts w:ascii="Comfortaa" w:hAnsi="Comfortaa"/>
          <w:shd w:val="clear" w:color="auto" w:fill="FFFFFF"/>
        </w:rPr>
      </w:pPr>
      <w:r>
        <w:rPr>
          <w:rFonts w:ascii="Comfortaa" w:eastAsia="Caudex" w:hAnsi="Comfortaa" w:cs="Caudex"/>
          <w:shd w:val="clear" w:color="auto" w:fill="FFFFFF"/>
        </w:rPr>
        <w:tab/>
      </w:r>
      <w:sdt>
        <w:sdtPr>
          <w:tag w:val="goog_rdk_4"/>
          <w:id w:val="1256410883"/>
        </w:sdtPr>
        <w:sdtContent>
          <w:r>
            <w:rPr>
              <w:rFonts w:ascii="Comfortaa" w:eastAsia="Caudex" w:hAnsi="Comfortaa" w:cs="Caudex"/>
              <w:shd w:val="clear" w:color="auto" w:fill="FFFFFF"/>
            </w:rPr>
            <w:t xml:space="preserve">El PUE medio de 1,287, el porcentaje renovable y la recuperación ORC empleados en las págs. PDF 125–129 deben traducirse en definiciones, frontera de cálculo, valores objetivo, calendario, medición verificable y consecuencias del incumplimiento. El escenario ORC reduce las emisiones declaradas de 307.175 a 296.874 </w:t>
          </w:r>
          <w:proofErr w:type="spellStart"/>
          <w:r>
            <w:rPr>
              <w:rFonts w:ascii="Comfortaa" w:eastAsia="Caudex" w:hAnsi="Comfortaa" w:cs="Caudex"/>
              <w:shd w:val="clear" w:color="auto" w:fill="FFFFFF"/>
            </w:rPr>
            <w:t>tCO</w:t>
          </w:r>
          <w:proofErr w:type="spellEnd"/>
          <w:r>
            <w:rPr>
              <w:rFonts w:ascii="Comfortaa" w:eastAsia="Caudex" w:hAnsi="Comfortaa" w:cs="Caudex"/>
              <w:shd w:val="clear" w:color="auto" w:fill="FFFFFF"/>
            </w:rPr>
            <w:t>₂/año, una diferencia de 10.301 t/año; por ello su instalación y rendimiento no pueden quedar indeterminados si sustentan la evaluación.</w:t>
          </w:r>
        </w:sdtContent>
      </w:sdt>
    </w:p>
    <w:p w14:paraId="18CEB982"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El proyecto básico incluye comparaciones parciales de motores frente a otras tecnologías (Proyecto básico de AAI pág. 97) y de cuatro configuraciones de recuperación de calor (Proyecto básico de AAI págs. 125–129). Al no haberse localizado el estudio de impacto ambiental separado, no puede verificarse si existe el análisis completo de alternativas razonables, incluida la alternativa cero, exigido por el artículo 35 y el anexo VI de la Ley 21/2013. Ese análisis debe comparar con indicadores homogéneos localización, conexión a red, demanda, almacenamiento, refrigeración, calor residual y combustibles.</w:t>
      </w:r>
    </w:p>
    <w:p w14:paraId="4DAF67E6"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UNDÉCIMA. Accidentes graves, BESS, combustibles y aguas de extinción</w:t>
      </w:r>
    </w:p>
    <w:p w14:paraId="5D31BAD2" w14:textId="46089161"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 xml:space="preserve">Se declara un máximo de gasóleo de 2.921 m³, equivalente a 2.468 t usando 845 kg/m³ (Proyecto básico de AAI págs. 243 y 277). La cifra queda 32 t, 1,28 </w:t>
      </w:r>
      <w:r w:rsidR="00555F54">
        <w:rPr>
          <w:rFonts w:ascii="Comfortaa" w:eastAsia="Comfortaa" w:hAnsi="Comfortaa" w:cs="Comfortaa"/>
        </w:rPr>
        <w:t>%, por</w:t>
      </w:r>
      <w:r>
        <w:rPr>
          <w:rFonts w:ascii="Comfortaa" w:eastAsia="Comfortaa" w:hAnsi="Comfortaa" w:cs="Comfortaa"/>
        </w:rPr>
        <w:t xml:space="preserve"> debajo del umbral inferior de 2.500 t del anexo I del Real Decreto 840/2015 para los productos petrolíferos allí definidos. Esa proximidad no demuestra por sí sola su aplicación, pero exige acreditar producto, densidad, llenado máximo, existencias previsibles en instalaciones y cálculo documentado de la regla de la suma. También deben aclararse la función e inventario máximo de los dos depósitos de fluido térmico de 4.000 m³ </w:t>
      </w:r>
      <w:r w:rsidR="00555F54">
        <w:rPr>
          <w:rFonts w:ascii="Comfortaa" w:eastAsia="Comfortaa" w:hAnsi="Comfortaa" w:cs="Comfortaa"/>
        </w:rPr>
        <w:t>(Proyecto</w:t>
      </w:r>
      <w:r>
        <w:rPr>
          <w:rFonts w:ascii="Comfortaa" w:eastAsia="Comfortaa" w:hAnsi="Comfortaa" w:cs="Comfortaa"/>
        </w:rPr>
        <w:t xml:space="preserve"> básico de AAI pág. 278) y las propiedades de la solución de urea.</w:t>
      </w:r>
    </w:p>
    <w:p w14:paraId="57D8E314"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El BESS se describe como tecnología LFP y con 470 contenedores de batería (Proyecto básico de AAI pág. 121). La matriz de fallos analiza su avería esencialmente como pérdida de suministro y aumento de operación de motores (Proyecto básico de AAI pág.  401), mientras el incendio se aborda de modo general (Proyecto básico de AAI págs. 402–403). Debe justificarse, con la configuración finalmente fijada, si están cubiertos y cuantificados los escenarios específicos de propagación térmica, incendio prolongado, explosión y gases tóxicos, incluidos HF y CO cuando resulten aplicables, así como su posible interacción con gas, gasóleo, transformadores y fluidos térmicos.</w:t>
      </w:r>
    </w:p>
    <w:p w14:paraId="368C5979"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Deben definirse distancias de seguridad derivadas de modelos, no de radios genéricos; criterios de confinamiento o evacuación; coordinación con protección civil y bomberos; accesos y reservas; volumen, composición, contención, análisis y destino del agua de extinción; y condiciones para impedir vertidos al suelo, redes o cauces. La matriz de riesgos deberá cubrir construcción, puesta en marcha, operación normal, mantenimiento, emergencia y desmantelamiento.</w:t>
      </w:r>
    </w:p>
    <w:p w14:paraId="41513D51"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DUODÉCIMA. Evaluación acumulativa, planeamiento y responsabilidades del sistema funcional</w:t>
      </w:r>
    </w:p>
    <w:p w14:paraId="64AA1567"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La instalación depende de la planta fotovoltaica, el BESS, las líneas de 220 kV, la conexión de gas, los accesos, las redes hidráulicas y la urbanización. El artículo 20 del texto refundido exige evaluar el proyecto en su conjunto. La evaluación ambiental estratégica del planeamiento no sustituye la evaluación de impacto de cada infraestructura ni sus efectos acumulativos.</w:t>
      </w:r>
    </w:p>
    <w:p w14:paraId="6C040D79"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El proyecto cita las parcelas P1.4.1 y P3.1.1 del Plan Regional de ámbito territorial para el desarrollo del polígono industrial Zamora Norte. La pág. PDF 22 incorpora la solicitud del informe municipal de compatibilidad, pero entre los archivos examinados no se localiza el informe o la acreditación del transcurso de treinta días que el artículo 15 permite presentar en su defecto. Debe incorporarse el documento que proceda y certificarse la ordenación vigente de la zona ZN3; no se presume en estas alegaciones una incompatibilidad urbanística ni la falta de aprobación de una modificación.</w:t>
      </w:r>
    </w:p>
    <w:p w14:paraId="7285BADD"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lastRenderedPageBreak/>
        <w:tab/>
        <w:t>Si el informe urbanístico previsto en el artículo 15 del texto refundido fuese negativo y se recibiera antes del otorgamiento, procederá el archivo en los términos legales. Asimismo, deben delimitarse las obligaciones de cada promotor y operador sobre infraestructuras comunes, seguimiento, accidentes, restauración, garantías y cese, evitando vacíos entre proyectos tramitados separadamente.</w:t>
      </w:r>
    </w:p>
    <w:p w14:paraId="0F5E9D4F"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DECIMOTERCERA. Programa de vigilancia y condiciones directamente ejecutables</w:t>
      </w:r>
    </w:p>
    <w:p w14:paraId="3BC59E44"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El programa de vigilancia no puede limitarse a medir y remitir informes. Debe convertir cada impacto crítico en una secuencia verificable: parámetro, punto, método, frecuencia, umbral preventivo, umbral de incumplimiento, acción automática, responsable, plazo, comunicación y criterio de retorno a operación.</w:t>
      </w:r>
    </w:p>
    <w:p w14:paraId="275563E2"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La previsión de comunicar ciertos excesos en quince días y adoptar medidas en el mes siguiente debe conciliarse con la obligación de informar sin demora de incidentes o accidentes que afecten significativamente al medio ambiente. Para emisiones, ruido, vertidos, aguas subterráneas, BESS y consumos, la autorización debe establecer reducción de carga o parada cuando se superen umbrales, repetición de mediciones por entidad acreditada, análisis causal y publicación periódica de resultados en formato reutilizable.</w:t>
      </w:r>
    </w:p>
    <w:p w14:paraId="11E58C07"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Las medidas esenciales: encapsulados acústicos, sistemas de abatimiento, monitorización continua, contención de incendios, piezómetros, recuperación energética o medidas territoriales, deben describirse con prestaciones mínimas y calendario, no quedar pospuestas a decisiones futuras sin control público.</w:t>
      </w:r>
    </w:p>
    <w:p w14:paraId="73F5140B" w14:textId="77777777" w:rsidR="00B16640" w:rsidRDefault="00B16640">
      <w:pPr>
        <w:pStyle w:val="normal1"/>
        <w:keepLines/>
        <w:spacing w:after="100" w:line="252" w:lineRule="auto"/>
        <w:jc w:val="both"/>
        <w:rPr>
          <w:rFonts w:ascii="Comfortaa" w:eastAsia="Comfortaa" w:hAnsi="Comfortaa" w:cs="Comfortaa"/>
        </w:rPr>
      </w:pPr>
    </w:p>
    <w:p w14:paraId="1C0EEFD2" w14:textId="77777777" w:rsidR="00B16640" w:rsidRDefault="00000000">
      <w:pPr>
        <w:pStyle w:val="Ttulo1"/>
        <w:keepLines/>
        <w:numPr>
          <w:ilvl w:val="0"/>
          <w:numId w:val="1"/>
        </w:numPr>
        <w:rPr>
          <w:rFonts w:ascii="Comfortaa" w:eastAsia="Comfortaa" w:hAnsi="Comfortaa" w:cs="Comfortaa"/>
          <w:color w:val="000000"/>
        </w:rPr>
      </w:pPr>
      <w:r>
        <w:rPr>
          <w:rFonts w:ascii="Comfortaa" w:eastAsia="Comfortaa" w:hAnsi="Comfortaa" w:cs="Comfortaa"/>
          <w:color w:val="000000"/>
        </w:rPr>
        <w:t>SOLICITA</w:t>
      </w:r>
    </w:p>
    <w:p w14:paraId="04130EA7" w14:textId="77777777" w:rsidR="00B16640" w:rsidRDefault="00000000">
      <w:pPr>
        <w:pStyle w:val="normal1"/>
        <w:keepLines/>
        <w:spacing w:after="100" w:line="252" w:lineRule="auto"/>
        <w:jc w:val="both"/>
        <w:rPr>
          <w:rFonts w:ascii="Comfortaa" w:eastAsia="Comfortaa" w:hAnsi="Comfortaa" w:cs="Comfortaa"/>
        </w:rPr>
      </w:pPr>
      <w:r>
        <w:rPr>
          <w:rFonts w:ascii="Comfortaa" w:eastAsia="Comfortaa" w:hAnsi="Comfortaa" w:cs="Comfortaa"/>
        </w:rPr>
        <w:tab/>
        <w:t>Por todo lo expuesto, se solicita que se tengan por presentadas estas alegaciones y que, antes de resolver el expediente, se acuerde:</w:t>
      </w:r>
    </w:p>
    <w:p w14:paraId="6A25DB75"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1. Incorporar íntegramente este escrito al expediente, acusar recibo e identificar el número de asiento registral.</w:t>
      </w:r>
    </w:p>
    <w:p w14:paraId="4960F996"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2. Tener por formuladas las presentes alegaciones en ejercicio del derecho de participación en el trámite de información pública y darles respuesta razonada, conforme al artículo 83.3 de la Ley 39/2015, sin exigir acreditación adicional de interés legítimo para su admisión y consideración.</w:t>
      </w:r>
    </w:p>
    <w:p w14:paraId="2853C06B"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3. </w:t>
      </w:r>
      <w:r>
        <w:rPr>
          <w:rFonts w:ascii="Comfortaa" w:eastAsia="Comfortaa" w:hAnsi="Comfortaa" w:cs="Comfortaa"/>
        </w:rPr>
        <w:t>Publicar un índice maestro del expediente con nombre, versión, fecha, autoría, paginación y condición de vigente o sustituido de cada documento.</w:t>
      </w:r>
    </w:p>
    <w:p w14:paraId="300982F1"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4. </w:t>
      </w:r>
      <w:r>
        <w:rPr>
          <w:rFonts w:ascii="Comfortaa" w:eastAsia="Comfortaa" w:hAnsi="Comfortaa" w:cs="Comfortaa"/>
        </w:rPr>
        <w:t>Identificar y facilitar el estudio de impacto ambiental completo. Si no existe con el contenido legal o si la subsanación altera sustancialmente el proyecto o sus efectos, completar el expediente y someterlo de nuevo a información pública durante el plazo legal.</w:t>
      </w:r>
    </w:p>
    <w:p w14:paraId="77F1289F"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5. </w:t>
      </w:r>
      <w:r>
        <w:rPr>
          <w:rFonts w:ascii="Comfortaa" w:eastAsia="Comfortaa" w:hAnsi="Comfortaa" w:cs="Comfortaa"/>
        </w:rPr>
        <w:t>Emitir una memoria de subsanación que concilie capacidad y energía del BESS, gasóleo, grupos diésel, urea, balances de masa y energía, focos, fases, titulares y operadores.</w:t>
      </w:r>
    </w:p>
    <w:p w14:paraId="79B04A21"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6. </w:t>
      </w:r>
      <w:r>
        <w:rPr>
          <w:rFonts w:ascii="Comfortaa" w:eastAsia="Comfortaa" w:hAnsi="Comfortaa" w:cs="Comfortaa"/>
        </w:rPr>
        <w:t>Caracterizar por fases la generación temporal, obras, movimiento de tierras, polvo, tráfico, ruido, almacenamiento y coexistencia de equipos, incorporando las medidas y límites correspondientes.</w:t>
      </w:r>
    </w:p>
    <w:p w14:paraId="7B18C341"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7. </w:t>
      </w:r>
      <w:r>
        <w:rPr>
          <w:rFonts w:ascii="Comfortaa" w:eastAsia="Comfortaa" w:hAnsi="Comfortaa" w:cs="Comfortaa"/>
        </w:rPr>
        <w:t>Rehacer el inventario de emisiones con datos horarios por motor y contaminante, reconciliar el balance de formaldehído y fijar condiciones de referencia, métodos, incertidumbre y control representativo.</w:t>
      </w:r>
    </w:p>
    <w:p w14:paraId="00078AC8"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8. </w:t>
      </w:r>
      <w:r>
        <w:rPr>
          <w:rFonts w:ascii="Comfortaa" w:eastAsia="Comfortaa" w:hAnsi="Comfortaa" w:cs="Comfortaa"/>
        </w:rPr>
        <w:t>Completar la modelización local de calidad del aire y su conexión con el modelo regional, con dominio suficiente, meteorología representativa, fondo cuantificado, transformación química cuando proceda, receptores discretos y análisis acumulativo.</w:t>
      </w:r>
    </w:p>
    <w:p w14:paraId="3C63B901"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9. </w:t>
      </w:r>
      <w:sdt>
        <w:sdtPr>
          <w:tag w:val="goog_rdk_5"/>
          <w:id w:val="-671621855"/>
        </w:sdtPr>
        <w:sdtContent>
          <w:r>
            <w:rPr>
              <w:rFonts w:ascii="Comfortaa" w:eastAsia="Caudex" w:hAnsi="Comfortaa" w:cs="Caudex"/>
              <w:shd w:val="clear" w:color="auto" w:fill="FFFFFF"/>
            </w:rPr>
            <w:t>Evaluar individualmente formaldehído, acetaldehído, acroleína, 1,3-butadieno, benceno, PM10, PM2,5, NO₂, CO y los restantes contaminantes significativos.</w:t>
          </w:r>
        </w:sdtContent>
      </w:sdt>
    </w:p>
    <w:p w14:paraId="58BD247E"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10. </w:t>
      </w:r>
      <w:r>
        <w:rPr>
          <w:rFonts w:ascii="Comfortaa" w:eastAsia="Comfortaa" w:hAnsi="Comfortaa" w:cs="Comfortaa"/>
        </w:rPr>
        <w:t>Aportar una evaluación cuantitativa de riesgos para la salud con escenarios agudos y crónicos, grupos sensibles, incertidumbre, cocientes de peligro y riesgo cancerígeno incremental.</w:t>
      </w:r>
    </w:p>
    <w:p w14:paraId="6B2DE809"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lastRenderedPageBreak/>
        <w:t xml:space="preserve">11. </w:t>
      </w:r>
      <w:r>
        <w:rPr>
          <w:rFonts w:ascii="Comfortaa" w:eastAsia="Comfortaa" w:hAnsi="Comfortaa" w:cs="Comfortaa"/>
        </w:rPr>
        <w:t xml:space="preserve">Completar el estudio acústico con campaña estacional, espectros de tercio de octava, </w:t>
      </w:r>
      <w:proofErr w:type="spellStart"/>
      <w:r>
        <w:rPr>
          <w:rFonts w:ascii="Comfortaa" w:eastAsia="Comfortaa" w:hAnsi="Comfortaa" w:cs="Comfortaa"/>
        </w:rPr>
        <w:t>LCeq</w:t>
      </w:r>
      <w:proofErr w:type="spellEnd"/>
      <w:r>
        <w:rPr>
          <w:rFonts w:ascii="Comfortaa" w:eastAsia="Comfortaa" w:hAnsi="Comfortaa" w:cs="Comfortaa"/>
        </w:rPr>
        <w:t xml:space="preserve">, correcciones </w:t>
      </w:r>
      <w:proofErr w:type="spellStart"/>
      <w:r>
        <w:rPr>
          <w:rFonts w:ascii="Comfortaa" w:eastAsia="Comfortaa" w:hAnsi="Comfortaa" w:cs="Comfortaa"/>
        </w:rPr>
        <w:t>Kt</w:t>
      </w:r>
      <w:proofErr w:type="spellEnd"/>
      <w:r>
        <w:rPr>
          <w:rFonts w:ascii="Comfortaa" w:eastAsia="Comfortaa" w:hAnsi="Comfortaa" w:cs="Comfortaa"/>
        </w:rPr>
        <w:t>/</w:t>
      </w:r>
      <w:proofErr w:type="spellStart"/>
      <w:r>
        <w:rPr>
          <w:rFonts w:ascii="Comfortaa" w:eastAsia="Comfortaa" w:hAnsi="Comfortaa" w:cs="Comfortaa"/>
        </w:rPr>
        <w:t>Kf</w:t>
      </w:r>
      <w:proofErr w:type="spellEnd"/>
      <w:r>
        <w:rPr>
          <w:rFonts w:ascii="Comfortaa" w:eastAsia="Comfortaa" w:hAnsi="Comfortaa" w:cs="Comfortaa"/>
        </w:rPr>
        <w:t>/Ki, vibraciones, sueño, escenarios de obras, emergencias y tráfico, y verificación posterior en receptores.</w:t>
      </w:r>
    </w:p>
    <w:p w14:paraId="5B2BA18C"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12. </w:t>
      </w:r>
      <w:r>
        <w:rPr>
          <w:rFonts w:ascii="Comfortaa" w:eastAsia="Comfortaa" w:hAnsi="Comfortaa" w:cs="Comfortaa"/>
        </w:rPr>
        <w:t>Acreditar la disponibilidad y capacidad de abastecimiento, saneamiento y tratamiento final; definir por separado aguas sanitarias, rechazo, pluviales limpias y contaminadas y aguas de extinción, con contención y destino autorizados.</w:t>
      </w:r>
    </w:p>
    <w:p w14:paraId="33E15080"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13. Recabar e incorporar los informes sectoriales y municipales que procedan y garantizar el acceso a la información ambiental conforme al régimen legal aplicable.</w:t>
      </w:r>
    </w:p>
    <w:p w14:paraId="65DA13C4"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14. </w:t>
      </w:r>
      <w:r>
        <w:rPr>
          <w:rFonts w:ascii="Comfortaa" w:eastAsia="Comfortaa" w:hAnsi="Comfortaa" w:cs="Comfortaa"/>
        </w:rPr>
        <w:t>Realizar el informe base de suelo y aguas subterráneas con red, muestreo y analítica representativos antes de movimientos de tierra que puedan alterar la línea de base, y fijar umbrales de actuación.</w:t>
      </w:r>
    </w:p>
    <w:p w14:paraId="7A353B2A"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15. </w:t>
      </w:r>
      <w:r>
        <w:rPr>
          <w:rFonts w:ascii="Comfortaa" w:eastAsia="Comfortaa" w:hAnsi="Comfortaa" w:cs="Comfortaa"/>
        </w:rPr>
        <w:t>Cuantificar emisiones de gases de efecto invernadero de alcance directo e indirecto, analizar vulnerabilidad climática y comparar alternativas energéticas, tecnológicas, territoriales y la alternativa cero con indicadores homogéneos.</w:t>
      </w:r>
    </w:p>
    <w:p w14:paraId="672BA8DA"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16. </w:t>
      </w:r>
      <w:r>
        <w:rPr>
          <w:rFonts w:ascii="Comfortaa" w:eastAsia="Comfortaa" w:hAnsi="Comfortaa" w:cs="Comfortaa"/>
        </w:rPr>
        <w:t>Convertir en condiciones vinculantes y medibles los valores de PUE, porcentaje renovable, recuperación ORC y de calor residual, consumo de agua y demás compromisos empleados para justificar el proyecto.</w:t>
      </w:r>
    </w:p>
    <w:p w14:paraId="10F990EF"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17. </w:t>
      </w:r>
      <w:r>
        <w:rPr>
          <w:rFonts w:ascii="Comfortaa" w:eastAsia="Comfortaa" w:hAnsi="Comfortaa" w:cs="Comfortaa"/>
        </w:rPr>
        <w:t>Determinar la capacidad real y química del BESS y completar el análisis de accidente con fuga térmica, gases tóxicos, radiación, humo, explosión, efecto dominó y gestión de aguas de extinción.</w:t>
      </w:r>
    </w:p>
    <w:p w14:paraId="5139DD37"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18. </w:t>
      </w:r>
      <w:r>
        <w:rPr>
          <w:rFonts w:ascii="Comfortaa" w:eastAsia="Comfortaa" w:hAnsi="Comfortaa" w:cs="Comfortaa"/>
        </w:rPr>
        <w:t>Verificar de forma documentada la aplicabilidad del Real Decreto 840/2015, incluida la suma de existencias y la regla de la suma, a partir del inventario máximo real y de la clasificación de cada sustancia.</w:t>
      </w:r>
    </w:p>
    <w:p w14:paraId="33E87041"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19. </w:t>
      </w:r>
      <w:r>
        <w:rPr>
          <w:rFonts w:ascii="Comfortaa" w:eastAsia="Comfortaa" w:hAnsi="Comfortaa" w:cs="Comfortaa"/>
        </w:rPr>
        <w:t>Evaluar de forma integrada el centro de datos, la generación térmica, BESS, fotovoltaica, líneas, gas, agua, accesos, urbanización, tráfico y otros proyectos presentes o previsibles.</w:t>
      </w:r>
    </w:p>
    <w:p w14:paraId="77274F51"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20. </w:t>
      </w:r>
      <w:r>
        <w:rPr>
          <w:rFonts w:ascii="Comfortaa" w:eastAsia="Comfortaa" w:hAnsi="Comfortaa" w:cs="Comfortaa"/>
        </w:rPr>
        <w:t>Incorporar informe urbanístico vigente y certificación sobre la ordenación aplicable a P1.4.1 y P3.1.1, junto con la situación consolidada de la modificación del Plan Regional y sus determinaciones ambientales.</w:t>
      </w:r>
    </w:p>
    <w:p w14:paraId="3A1AD13C"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21. </w:t>
      </w:r>
      <w:r>
        <w:rPr>
          <w:rFonts w:ascii="Comfortaa" w:eastAsia="Comfortaa" w:hAnsi="Comfortaa" w:cs="Comfortaa"/>
        </w:rPr>
        <w:t>Fijar sin ambigüedad titular, operador y responsabilidades de cada infraestructura, así como garantías de vigilancia, reparación, restauración, cese y desmantelamiento.</w:t>
      </w:r>
    </w:p>
    <w:p w14:paraId="31D9B98C"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22. </w:t>
      </w:r>
      <w:r>
        <w:rPr>
          <w:rFonts w:ascii="Comfortaa" w:eastAsia="Comfortaa" w:hAnsi="Comfortaa" w:cs="Comfortaa"/>
        </w:rPr>
        <w:t>Aprobar un programa de vigilancia con matriz parámetro–método–frecuencia–umbral–acción–responsable–plazo, incluyendo reducción automática de carga o parada, comunicación inmediata y publicación de resultados.</w:t>
      </w:r>
    </w:p>
    <w:p w14:paraId="08B00608"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23. </w:t>
      </w:r>
      <w:r>
        <w:rPr>
          <w:rFonts w:ascii="Comfortaa" w:eastAsia="Comfortaa" w:hAnsi="Comfortaa" w:cs="Comfortaa"/>
        </w:rPr>
        <w:t>No otorgar la autorización mientras subsistan incertidumbres materiales que impidan descartar efectos adversos significativos o verificar el cumplimiento de las condiciones legales y técnicas.</w:t>
      </w:r>
    </w:p>
    <w:p w14:paraId="63E41009"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24. </w:t>
      </w:r>
      <w:r>
        <w:rPr>
          <w:rFonts w:ascii="Comfortaa" w:eastAsia="Comfortaa" w:hAnsi="Comfortaa" w:cs="Comfortaa"/>
        </w:rPr>
        <w:t>Si finalmente se autoriza, incorporar en la autorización ambiental integrada todas las medidas esenciales como condiciones expresas, cuantificadas, calendarizadas, inspeccionables y exigibles.</w:t>
      </w:r>
    </w:p>
    <w:p w14:paraId="3F480CC6" w14:textId="77777777" w:rsidR="00B16640" w:rsidRDefault="00000000">
      <w:pPr>
        <w:pStyle w:val="normal1"/>
        <w:keepLines/>
        <w:spacing w:after="100" w:line="252" w:lineRule="auto"/>
        <w:ind w:left="340" w:hanging="340"/>
        <w:jc w:val="both"/>
        <w:rPr>
          <w:rFonts w:ascii="Comfortaa" w:eastAsia="Comfortaa" w:hAnsi="Comfortaa" w:cs="Comfortaa"/>
        </w:rPr>
      </w:pPr>
      <w:r>
        <w:rPr>
          <w:rFonts w:ascii="Comfortaa" w:eastAsia="Comfortaa" w:hAnsi="Comfortaa" w:cs="Comfortaa"/>
          <w:b/>
          <w:bCs/>
        </w:rPr>
        <w:t xml:space="preserve">25. </w:t>
      </w:r>
      <w:r>
        <w:rPr>
          <w:rFonts w:ascii="Comfortaa" w:eastAsia="Comfortaa" w:hAnsi="Comfortaa" w:cs="Comfortaa"/>
        </w:rPr>
        <w:t>Dar respuesta motivada y separada a cada alegación y solicitud, indicando qué documento, informe o condición sustenta su aceptación o rechazo, y notificar o publicar la decisión conforme al régimen aplicable.</w:t>
      </w:r>
    </w:p>
    <w:p w14:paraId="18B72515" w14:textId="77777777" w:rsidR="00845E75" w:rsidRDefault="00845E75">
      <w:pPr>
        <w:pStyle w:val="normal1"/>
        <w:keepLines/>
        <w:spacing w:after="100" w:line="252" w:lineRule="auto"/>
        <w:ind w:left="340" w:hanging="340"/>
        <w:jc w:val="both"/>
        <w:rPr>
          <w:rFonts w:ascii="Comfortaa" w:eastAsia="Comfortaa" w:hAnsi="Comfortaa" w:cs="Comfortaa"/>
        </w:rPr>
      </w:pPr>
    </w:p>
    <w:p w14:paraId="20B435C9" w14:textId="19497C8A"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LUGAR, FECHA Y FIRMA</w:t>
      </w:r>
    </w:p>
    <w:p w14:paraId="3BFCF7CA" w14:textId="0FEFF02C" w:rsidR="00CF242D" w:rsidRPr="00CF242D" w:rsidRDefault="00CF242D" w:rsidP="00CF242D">
      <w:pPr>
        <w:pStyle w:val="Prrafodelista"/>
        <w:numPr>
          <w:ilvl w:val="0"/>
          <w:numId w:val="1"/>
        </w:numPr>
        <w:tabs>
          <w:tab w:val="left" w:pos="8580"/>
        </w:tabs>
        <w:jc w:val="both"/>
        <w:rPr>
          <w:sz w:val="22"/>
          <w:szCs w:val="22"/>
        </w:rPr>
      </w:pPr>
      <w:bookmarkStart w:id="0" w:name="_Hlk202032125"/>
      <w:r w:rsidRPr="00CF242D">
        <w:rPr>
          <w:sz w:val="22"/>
          <w:szCs w:val="22"/>
        </w:rPr>
        <w:t xml:space="preserve">En Zamora a </w:t>
      </w:r>
      <w:r w:rsidR="00D97DF8">
        <w:rPr>
          <w:sz w:val="22"/>
          <w:szCs w:val="22"/>
        </w:rPr>
        <w:t>_______</w:t>
      </w:r>
      <w:r w:rsidRPr="00CF242D">
        <w:rPr>
          <w:sz w:val="22"/>
          <w:szCs w:val="22"/>
        </w:rPr>
        <w:t xml:space="preserve"> de </w:t>
      </w:r>
      <w:r w:rsidR="00D97DF8">
        <w:rPr>
          <w:sz w:val="22"/>
          <w:szCs w:val="22"/>
        </w:rPr>
        <w:t>septiembre</w:t>
      </w:r>
      <w:r w:rsidRPr="00CF242D">
        <w:rPr>
          <w:sz w:val="22"/>
          <w:szCs w:val="22"/>
        </w:rPr>
        <w:t xml:space="preserve"> de 2026.</w:t>
      </w:r>
    </w:p>
    <w:bookmarkEnd w:id="0"/>
    <w:p w14:paraId="1B1682AE" w14:textId="77777777" w:rsidR="00B16640" w:rsidRDefault="00B16640">
      <w:pPr>
        <w:pStyle w:val="normal1"/>
        <w:rPr>
          <w:rFonts w:ascii="Comfortaa" w:eastAsia="Comfortaa" w:hAnsi="Comfortaa" w:cs="Comfortaa"/>
        </w:rPr>
      </w:pPr>
    </w:p>
    <w:p w14:paraId="499FFF1D" w14:textId="77777777" w:rsidR="00B16640" w:rsidRDefault="00B16640">
      <w:pPr>
        <w:pStyle w:val="normal1"/>
        <w:rPr>
          <w:rFonts w:ascii="Comfortaa" w:eastAsia="Comfortaa" w:hAnsi="Comfortaa" w:cs="Comfortaa"/>
        </w:rPr>
      </w:pPr>
    </w:p>
    <w:p w14:paraId="0473307C" w14:textId="77777777" w:rsidR="00845E75" w:rsidRDefault="00845E75">
      <w:pPr>
        <w:pStyle w:val="normal1"/>
        <w:keepLines/>
        <w:spacing w:after="40" w:line="252" w:lineRule="auto"/>
        <w:rPr>
          <w:rFonts w:ascii="Comfortaa" w:eastAsia="Comfortaa" w:hAnsi="Comfortaa" w:cs="Comfortaa"/>
          <w:b/>
          <w:bCs/>
        </w:rPr>
      </w:pPr>
    </w:p>
    <w:p w14:paraId="1A0AD454" w14:textId="451652CC" w:rsidR="00B16640" w:rsidRDefault="00000000">
      <w:pPr>
        <w:pStyle w:val="normal1"/>
        <w:keepLines/>
        <w:spacing w:after="40" w:line="252" w:lineRule="auto"/>
        <w:rPr>
          <w:rFonts w:ascii="Comfortaa" w:eastAsia="Comfortaa" w:hAnsi="Comfortaa" w:cs="Comfortaa"/>
          <w:b/>
          <w:bCs/>
        </w:rPr>
      </w:pPr>
      <w:r>
        <w:rPr>
          <w:rFonts w:ascii="Comfortaa" w:eastAsia="Comfortaa" w:hAnsi="Comfortaa" w:cs="Comfortaa"/>
          <w:b/>
          <w:bCs/>
        </w:rPr>
        <w:t xml:space="preserve">Fdo.: </w:t>
      </w:r>
    </w:p>
    <w:p w14:paraId="31F9371E" w14:textId="77777777" w:rsidR="00A05306" w:rsidRDefault="00A05306">
      <w:pPr>
        <w:pStyle w:val="normal1"/>
        <w:keepLines/>
        <w:spacing w:after="40" w:line="252" w:lineRule="auto"/>
        <w:rPr>
          <w:rFonts w:ascii="Comfortaa" w:eastAsia="Comfortaa" w:hAnsi="Comfortaa" w:cs="Comfortaa"/>
          <w:b/>
          <w:bCs/>
        </w:rPr>
      </w:pPr>
    </w:p>
    <w:p w14:paraId="2C80575C"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lastRenderedPageBreak/>
        <w:t>REFERENCIAS DOCUMENTALES</w:t>
      </w:r>
    </w:p>
    <w:p w14:paraId="52A42AC7" w14:textId="77777777" w:rsidR="00B16640" w:rsidRDefault="00000000">
      <w:pPr>
        <w:pStyle w:val="normal1"/>
        <w:keepNext/>
        <w:keepLines/>
        <w:widowControl/>
        <w:spacing w:after="100" w:line="252" w:lineRule="auto"/>
        <w:rPr>
          <w:rFonts w:ascii="Comfortaa" w:eastAsia="Comfortaa" w:hAnsi="Comfortaa" w:cs="Comfortaa"/>
          <w:sz w:val="17"/>
          <w:szCs w:val="17"/>
        </w:rPr>
      </w:pPr>
      <w:r>
        <w:rPr>
          <w:rFonts w:ascii="Comfortaa" w:eastAsia="Comfortaa" w:hAnsi="Comfortaa" w:cs="Comfortaa"/>
          <w:i/>
          <w:iCs/>
          <w:sz w:val="17"/>
          <w:szCs w:val="17"/>
        </w:rPr>
        <w:t>Las referencias siguientes utilizan la numeración de página del Proyecto básico de AAI de 977 páginas «EG1823 AAI DATA CENTER_INF PUBLICA». Expuesto en información pública.</w:t>
      </w:r>
    </w:p>
    <w:tbl>
      <w:tblPr>
        <w:tblW w:w="9354" w:type="dxa"/>
        <w:jc w:val="center"/>
        <w:tblLayout w:type="fixed"/>
        <w:tblLook w:val="0400" w:firstRow="0" w:lastRow="0" w:firstColumn="0" w:lastColumn="0" w:noHBand="0" w:noVBand="1"/>
      </w:tblPr>
      <w:tblGrid>
        <w:gridCol w:w="1983"/>
        <w:gridCol w:w="5102"/>
        <w:gridCol w:w="2269"/>
      </w:tblGrid>
      <w:tr w:rsidR="00B16640" w14:paraId="24003C55" w14:textId="77777777">
        <w:trPr>
          <w:tblHeader/>
          <w:jc w:val="center"/>
        </w:trPr>
        <w:tc>
          <w:tcPr>
            <w:tcW w:w="1983" w:type="dxa"/>
            <w:tcBorders>
              <w:top w:val="single" w:sz="4" w:space="0" w:color="666666"/>
              <w:left w:val="single" w:sz="4" w:space="0" w:color="666666"/>
              <w:bottom w:val="single" w:sz="4" w:space="0" w:color="666666"/>
              <w:right w:val="single" w:sz="4" w:space="0" w:color="666666"/>
            </w:tcBorders>
            <w:shd w:val="clear" w:color="auto" w:fill="666666"/>
          </w:tcPr>
          <w:p w14:paraId="7F0A03A2" w14:textId="77777777" w:rsidR="00B16640" w:rsidRDefault="00000000">
            <w:pPr>
              <w:pStyle w:val="normal1"/>
              <w:rPr>
                <w:rFonts w:ascii="Comfortaa" w:eastAsia="Comfortaa" w:hAnsi="Comfortaa" w:cs="Comfortaa"/>
                <w:color w:val="FFFFFF"/>
              </w:rPr>
            </w:pPr>
            <w:r>
              <w:rPr>
                <w:rFonts w:ascii="Comfortaa" w:eastAsia="Comfortaa" w:hAnsi="Comfortaa" w:cs="Comfortaa"/>
                <w:b/>
                <w:bCs/>
                <w:color w:val="FFFFFF"/>
              </w:rPr>
              <w:t>Alegación</w:t>
            </w:r>
          </w:p>
        </w:tc>
        <w:tc>
          <w:tcPr>
            <w:tcW w:w="5102" w:type="dxa"/>
            <w:tcBorders>
              <w:top w:val="single" w:sz="4" w:space="0" w:color="666666"/>
              <w:left w:val="single" w:sz="4" w:space="0" w:color="666666"/>
              <w:bottom w:val="single" w:sz="4" w:space="0" w:color="666666"/>
              <w:right w:val="single" w:sz="4" w:space="0" w:color="666666"/>
            </w:tcBorders>
            <w:shd w:val="clear" w:color="auto" w:fill="666666"/>
          </w:tcPr>
          <w:p w14:paraId="3E3A5AE8" w14:textId="77777777" w:rsidR="00B16640" w:rsidRDefault="00000000">
            <w:pPr>
              <w:pStyle w:val="normal1"/>
              <w:rPr>
                <w:rFonts w:ascii="Comfortaa" w:eastAsia="Comfortaa" w:hAnsi="Comfortaa" w:cs="Comfortaa"/>
                <w:color w:val="FFFFFF"/>
              </w:rPr>
            </w:pPr>
            <w:r>
              <w:rPr>
                <w:rFonts w:ascii="Comfortaa" w:eastAsia="Comfortaa" w:hAnsi="Comfortaa" w:cs="Comfortaa"/>
                <w:b/>
                <w:bCs/>
                <w:color w:val="FFFFFF"/>
              </w:rPr>
              <w:t>Hecho contrastado</w:t>
            </w:r>
          </w:p>
        </w:tc>
        <w:tc>
          <w:tcPr>
            <w:tcW w:w="2269" w:type="dxa"/>
            <w:tcBorders>
              <w:top w:val="single" w:sz="4" w:space="0" w:color="666666"/>
              <w:left w:val="single" w:sz="4" w:space="0" w:color="666666"/>
              <w:bottom w:val="single" w:sz="4" w:space="0" w:color="666666"/>
              <w:right w:val="single" w:sz="4" w:space="0" w:color="666666"/>
            </w:tcBorders>
            <w:shd w:val="clear" w:color="auto" w:fill="666666"/>
          </w:tcPr>
          <w:p w14:paraId="5FBE5643" w14:textId="77777777" w:rsidR="00B16640" w:rsidRDefault="00000000">
            <w:pPr>
              <w:pStyle w:val="normal1"/>
              <w:rPr>
                <w:rFonts w:ascii="Comfortaa" w:eastAsia="Comfortaa" w:hAnsi="Comfortaa" w:cs="Comfortaa"/>
                <w:color w:val="FFFFFF"/>
              </w:rPr>
            </w:pPr>
            <w:r>
              <w:rPr>
                <w:rFonts w:ascii="Comfortaa" w:eastAsia="Comfortaa" w:hAnsi="Comfortaa" w:cs="Comfortaa"/>
                <w:b/>
                <w:bCs/>
                <w:color w:val="FFFFFF"/>
              </w:rPr>
              <w:t>Referencia interna</w:t>
            </w:r>
          </w:p>
        </w:tc>
      </w:tr>
      <w:tr w:rsidR="00B16640" w14:paraId="4836541B" w14:textId="77777777">
        <w:trPr>
          <w:cantSplit/>
          <w:jc w:val="center"/>
        </w:trPr>
        <w:tc>
          <w:tcPr>
            <w:tcW w:w="1983" w:type="dxa"/>
            <w:tcBorders>
              <w:top w:val="single" w:sz="4" w:space="0" w:color="666666"/>
              <w:left w:val="single" w:sz="4" w:space="0" w:color="B7C9D6"/>
              <w:bottom w:val="single" w:sz="4" w:space="0" w:color="B7C9D6"/>
              <w:right w:val="single" w:sz="4" w:space="0" w:color="B7C9D6"/>
            </w:tcBorders>
            <w:tcMar>
              <w:top w:w="65" w:type="dxa"/>
              <w:bottom w:w="65" w:type="dxa"/>
            </w:tcMar>
          </w:tcPr>
          <w:p w14:paraId="38174340"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1. Integridad</w:t>
            </w:r>
          </w:p>
        </w:tc>
        <w:tc>
          <w:tcPr>
            <w:tcW w:w="5102" w:type="dxa"/>
            <w:tcBorders>
              <w:top w:val="single" w:sz="4" w:space="0" w:color="666666"/>
              <w:left w:val="single" w:sz="4" w:space="0" w:color="B7C9D6"/>
              <w:bottom w:val="single" w:sz="4" w:space="0" w:color="B7C9D6"/>
              <w:right w:val="single" w:sz="4" w:space="0" w:color="B7C9D6"/>
            </w:tcBorders>
            <w:tcMar>
              <w:top w:w="65" w:type="dxa"/>
              <w:bottom w:w="65" w:type="dxa"/>
            </w:tcMar>
          </w:tcPr>
          <w:p w14:paraId="6F7BB4D4" w14:textId="77777777" w:rsidR="00B16640" w:rsidRDefault="00000000">
            <w:pPr>
              <w:pStyle w:val="normal1"/>
              <w:rPr>
                <w:rFonts w:ascii="Comfortaa" w:eastAsia="Comfortaa" w:hAnsi="Comfortaa" w:cs="Comfortaa"/>
              </w:rPr>
            </w:pPr>
            <w:r>
              <w:rPr>
                <w:rFonts w:ascii="Comfortaa" w:eastAsia="Comfortaa" w:hAnsi="Comfortaa" w:cs="Comfortaa"/>
                <w:sz w:val="17"/>
                <w:szCs w:val="17"/>
              </w:rPr>
              <w:t>El proyecto indica que el estudio de impacto ambiental se adjunta como documento independiente; no se localiza entre los tres archivos examinados.</w:t>
            </w:r>
          </w:p>
        </w:tc>
        <w:tc>
          <w:tcPr>
            <w:tcW w:w="2269" w:type="dxa"/>
            <w:tcBorders>
              <w:top w:val="single" w:sz="4" w:space="0" w:color="666666"/>
              <w:left w:val="single" w:sz="4" w:space="0" w:color="B7C9D6"/>
              <w:bottom w:val="single" w:sz="4" w:space="0" w:color="B7C9D6"/>
              <w:right w:val="single" w:sz="4" w:space="0" w:color="B7C9D6"/>
            </w:tcBorders>
            <w:tcMar>
              <w:top w:w="65" w:type="dxa"/>
              <w:bottom w:w="65" w:type="dxa"/>
            </w:tcMar>
          </w:tcPr>
          <w:p w14:paraId="77D52D43"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págs.  22–23</w:t>
            </w:r>
          </w:p>
        </w:tc>
      </w:tr>
      <w:tr w:rsidR="00B16640" w14:paraId="63878271"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674577E2"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2. Alcance</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6F14FE67" w14:textId="77777777" w:rsidR="00B16640" w:rsidRDefault="00000000">
            <w:pPr>
              <w:pStyle w:val="normal1"/>
              <w:rPr>
                <w:rFonts w:ascii="Comfortaa" w:eastAsia="Comfortaa" w:hAnsi="Comfortaa" w:cs="Comfortaa"/>
              </w:rPr>
            </w:pPr>
            <w:r>
              <w:rPr>
                <w:rFonts w:ascii="Comfortaa" w:eastAsia="Comfortaa" w:hAnsi="Comfortaa" w:cs="Comfortaa"/>
                <w:sz w:val="17"/>
                <w:szCs w:val="17"/>
              </w:rPr>
              <w:t>Diferencias de BESS; gasóleo 1.053/1.500 m³; unidad errónea de demanda; numeración discordante de flujos de agua.</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1370A570"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de AAI Págs.  59, 121, 243, 282–283, 334–337 y 680</w:t>
            </w:r>
          </w:p>
        </w:tc>
      </w:tr>
      <w:tr w:rsidR="00B16640" w14:paraId="637F40C8"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60A41133"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3. Obras</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1134BDCD" w14:textId="77777777" w:rsidR="00B16640" w:rsidRDefault="00000000">
            <w:pPr>
              <w:pStyle w:val="normal1"/>
              <w:rPr>
                <w:rFonts w:ascii="Comfortaa" w:eastAsia="Comfortaa" w:hAnsi="Comfortaa" w:cs="Comfortaa"/>
              </w:rPr>
            </w:pPr>
            <w:r>
              <w:rPr>
                <w:rFonts w:ascii="Comfortaa" w:eastAsia="Comfortaa" w:hAnsi="Comfortaa" w:cs="Comfortaa"/>
                <w:sz w:val="17"/>
                <w:szCs w:val="17"/>
              </w:rPr>
              <w:t>Cinco fases, primera de 18 meses más 4 meses; grupos temporales; movimiento de tierras preliminar de 1.049.866 m³.</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2F622702"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de AAI Pág. 244</w:t>
            </w:r>
          </w:p>
        </w:tc>
      </w:tr>
      <w:tr w:rsidR="00B16640" w14:paraId="5AFACA6C"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23E51652"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4. Atmósfera</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2695FD37" w14:textId="77777777" w:rsidR="00B16640" w:rsidRDefault="00000000">
            <w:pPr>
              <w:pStyle w:val="normal1"/>
              <w:rPr>
                <w:rFonts w:ascii="Comfortaa" w:eastAsia="Comfortaa" w:hAnsi="Comfortaa" w:cs="Comfortaa"/>
              </w:rPr>
            </w:pPr>
            <w:r>
              <w:rPr>
                <w:rFonts w:ascii="Comfortaa" w:eastAsia="Comfortaa" w:hAnsi="Comfortaa" w:cs="Comfortaa"/>
                <w:sz w:val="17"/>
                <w:szCs w:val="17"/>
              </w:rPr>
              <w:t>Inventario: 353,0 t/año de formaldehído, 55,9 de acetaldehído, 34,4 de acroleína, 2,9 de benceno y 1,8 de 1,3-butadieno.</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631FEE03"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de AAI Págs. 614–617</w:t>
            </w:r>
          </w:p>
        </w:tc>
      </w:tr>
      <w:tr w:rsidR="00B16640" w14:paraId="070F55E8"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62346933"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5. Dispersión</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0FB4ACD0" w14:textId="77777777" w:rsidR="00B16640" w:rsidRDefault="00000000">
            <w:pPr>
              <w:pStyle w:val="normal1"/>
              <w:rPr>
                <w:rFonts w:ascii="Comfortaa" w:eastAsia="Comfortaa" w:hAnsi="Comfortaa" w:cs="Comfortaa"/>
              </w:rPr>
            </w:pPr>
            <w:r>
              <w:rPr>
                <w:rFonts w:ascii="Comfortaa" w:eastAsia="Comfortaa" w:hAnsi="Comfortaa" w:cs="Comfortaa"/>
                <w:sz w:val="17"/>
                <w:szCs w:val="17"/>
              </w:rPr>
              <w:t>CALPUFF 50 × 50 celdas de 200 m, meteorología WRF 2025, referencia comparativa a León, sin transformación química local.</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21564E87"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de AAI Págs. 545 y 550–558</w:t>
            </w:r>
          </w:p>
        </w:tc>
      </w:tr>
      <w:tr w:rsidR="00B16640" w14:paraId="5542CFC2"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725F55FB"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6. Salud</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4E7280EF" w14:textId="77777777" w:rsidR="00B16640" w:rsidRDefault="00000000">
            <w:pPr>
              <w:pStyle w:val="normal1"/>
              <w:rPr>
                <w:rFonts w:ascii="Comfortaa" w:eastAsia="Comfortaa" w:hAnsi="Comfortaa" w:cs="Comfortaa"/>
              </w:rPr>
            </w:pPr>
            <w:r>
              <w:rPr>
                <w:rFonts w:ascii="Comfortaa" w:eastAsia="Comfortaa" w:hAnsi="Comfortaa" w:cs="Comfortaa"/>
                <w:sz w:val="17"/>
                <w:szCs w:val="17"/>
              </w:rPr>
              <w:t>En los archivos examinados no se localiza una evaluación cuantitativa que integre exposición y riesgo de los tóxicos inventariados.</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19C92951" w14:textId="77777777" w:rsidR="00B16640" w:rsidRDefault="00000000">
            <w:pPr>
              <w:pStyle w:val="normal1"/>
              <w:rPr>
                <w:rFonts w:ascii="Comfortaa" w:eastAsia="Comfortaa" w:hAnsi="Comfortaa" w:cs="Comfortaa"/>
              </w:rPr>
            </w:pPr>
            <w:r>
              <w:rPr>
                <w:rFonts w:ascii="Comfortaa" w:eastAsia="Comfortaa" w:hAnsi="Comfortaa" w:cs="Comfortaa"/>
                <w:sz w:val="17"/>
                <w:szCs w:val="17"/>
              </w:rPr>
              <w:t>Contraste con págs. 614–617 Proyecto básico de AAI</w:t>
            </w:r>
          </w:p>
        </w:tc>
      </w:tr>
      <w:tr w:rsidR="00B16640" w14:paraId="0A4E57D1"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7F291C51"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7. Ruido</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67303D45" w14:textId="77777777" w:rsidR="00B16640" w:rsidRDefault="00000000">
            <w:pPr>
              <w:pStyle w:val="normal1"/>
              <w:rPr>
                <w:rFonts w:ascii="Comfortaa" w:eastAsia="Comfortaa" w:hAnsi="Comfortaa" w:cs="Comfortaa"/>
              </w:rPr>
            </w:pPr>
            <w:r>
              <w:rPr>
                <w:rFonts w:ascii="Comfortaa" w:eastAsia="Comfortaa" w:hAnsi="Comfortaa" w:cs="Comfortaa"/>
                <w:sz w:val="17"/>
                <w:szCs w:val="17"/>
              </w:rPr>
              <w:t xml:space="preserve">Campaña 12–13/11/2025; receptores R6–R8; contribuciones 43,2/40,7/39,4 </w:t>
            </w:r>
            <w:proofErr w:type="spellStart"/>
            <w:r>
              <w:rPr>
                <w:rFonts w:ascii="Comfortaa" w:eastAsia="Comfortaa" w:hAnsi="Comfortaa" w:cs="Comfortaa"/>
                <w:sz w:val="17"/>
                <w:szCs w:val="17"/>
              </w:rPr>
              <w:t>dBA</w:t>
            </w:r>
            <w:proofErr w:type="spellEnd"/>
            <w:r>
              <w:rPr>
                <w:rFonts w:ascii="Comfortaa" w:eastAsia="Comfortaa" w:hAnsi="Comfortaa" w:cs="Comfortaa"/>
                <w:sz w:val="17"/>
                <w:szCs w:val="17"/>
              </w:rPr>
              <w:t xml:space="preserve"> y niveles totales 47,1/47,2/44,3 </w:t>
            </w:r>
            <w:proofErr w:type="spellStart"/>
            <w:r>
              <w:rPr>
                <w:rFonts w:ascii="Comfortaa" w:eastAsia="Comfortaa" w:hAnsi="Comfortaa" w:cs="Comfortaa"/>
                <w:sz w:val="17"/>
                <w:szCs w:val="17"/>
              </w:rPr>
              <w:t>dBA</w:t>
            </w:r>
            <w:proofErr w:type="spellEnd"/>
            <w:r>
              <w:rPr>
                <w:rFonts w:ascii="Comfortaa" w:eastAsia="Comfortaa" w:hAnsi="Comfortaa" w:cs="Comfortaa"/>
                <w:sz w:val="17"/>
                <w:szCs w:val="17"/>
              </w:rPr>
              <w:t>.</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40AB64FF"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Págs.  483, 507, 512 y 516–517</w:t>
            </w:r>
          </w:p>
        </w:tc>
      </w:tr>
      <w:tr w:rsidR="00B16640" w14:paraId="70D33EF0"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7A8BA3D8"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8. Agua</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5A199B24" w14:textId="77777777" w:rsidR="00B16640" w:rsidRDefault="00000000">
            <w:pPr>
              <w:pStyle w:val="normal1"/>
              <w:rPr>
                <w:rFonts w:ascii="Comfortaa" w:eastAsia="Comfortaa" w:hAnsi="Comfortaa" w:cs="Comfortaa"/>
              </w:rPr>
            </w:pPr>
            <w:r>
              <w:rPr>
                <w:rFonts w:ascii="Comfortaa" w:eastAsia="Comfortaa" w:hAnsi="Comfortaa" w:cs="Comfortaa"/>
                <w:sz w:val="17"/>
                <w:szCs w:val="17"/>
              </w:rPr>
              <w:t>Conexiones y autorización municipal pendientes; 128.545,8 m³/año de pluviales; 1.100 m³/año de rechazo y 350 m³/año de agua potencialmente contaminada.</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23618FB8"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de AAI Págs. 334–338</w:t>
            </w:r>
          </w:p>
        </w:tc>
      </w:tr>
      <w:tr w:rsidR="00B16640" w14:paraId="1B7E7B15"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732266C2"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9. Suelo</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09CD1E23" w14:textId="77777777" w:rsidR="00B16640" w:rsidRDefault="00000000">
            <w:pPr>
              <w:pStyle w:val="normal1"/>
              <w:rPr>
                <w:rFonts w:ascii="Comfortaa" w:eastAsia="Comfortaa" w:hAnsi="Comfortaa" w:cs="Comfortaa"/>
              </w:rPr>
            </w:pPr>
            <w:r>
              <w:rPr>
                <w:rFonts w:ascii="Comfortaa" w:eastAsia="Comfortaa" w:hAnsi="Comfortaa" w:cs="Comfortaa"/>
                <w:sz w:val="17"/>
                <w:szCs w:val="17"/>
              </w:rPr>
              <w:t>Cinco piezómetros; línea base antes de la actividad; frecuencias orientativas de 5 años para aguas y 10 para suelos.</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1D09C95B"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de AAI Págs. 374, 376 y 384</w:t>
            </w:r>
          </w:p>
        </w:tc>
      </w:tr>
      <w:tr w:rsidR="00B16640" w14:paraId="5D7356E4"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5E4491FE"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10. Clima</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07A1B46A" w14:textId="77777777" w:rsidR="00B16640" w:rsidRDefault="00000000">
            <w:pPr>
              <w:pStyle w:val="normal1"/>
              <w:rPr>
                <w:rFonts w:ascii="Comfortaa" w:eastAsia="Comfortaa" w:hAnsi="Comfortaa" w:cs="Comfortaa"/>
              </w:rPr>
            </w:pPr>
            <w:sdt>
              <w:sdtPr>
                <w:tag w:val="goog_rdk_6"/>
                <w:id w:val="-873984167"/>
              </w:sdtPr>
              <w:sdtContent>
                <w:r>
                  <w:rPr>
                    <w:rFonts w:ascii="Comfortaa" w:eastAsia="Caudex" w:hAnsi="Comfortaa" w:cs="Caudex"/>
                    <w:sz w:val="17"/>
                    <w:szCs w:val="17"/>
                    <w:shd w:val="clear" w:color="auto" w:fill="FFFFFF"/>
                  </w:rPr>
                  <w:t xml:space="preserve">2.255 GWh/año de demanda, PUE 1,287 y 296.874 </w:t>
                </w:r>
                <w:proofErr w:type="spellStart"/>
                <w:r>
                  <w:rPr>
                    <w:rFonts w:ascii="Comfortaa" w:eastAsia="Caudex" w:hAnsi="Comfortaa" w:cs="Caudex"/>
                    <w:sz w:val="17"/>
                    <w:szCs w:val="17"/>
                    <w:shd w:val="clear" w:color="auto" w:fill="FFFFFF"/>
                  </w:rPr>
                  <w:t>tCO</w:t>
                </w:r>
                <w:proofErr w:type="spellEnd"/>
                <w:r>
                  <w:rPr>
                    <w:rFonts w:ascii="Comfortaa" w:eastAsia="Caudex" w:hAnsi="Comfortaa" w:cs="Caudex"/>
                    <w:sz w:val="17"/>
                    <w:szCs w:val="17"/>
                    <w:shd w:val="clear" w:color="auto" w:fill="FFFFFF"/>
                  </w:rPr>
                  <w:t>₂/año con ORC; comparaciones tecnológicas y de recuperación parciales.</w:t>
                </w:r>
              </w:sdtContent>
            </w:sdt>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6192F2A4"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de AAI Págs. 97 y 125–129</w:t>
            </w:r>
          </w:p>
        </w:tc>
      </w:tr>
      <w:tr w:rsidR="00B16640" w14:paraId="5024D678"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2CD95673"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11. Accidentes</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28D649A7" w14:textId="77777777" w:rsidR="00B16640" w:rsidRDefault="00000000">
            <w:pPr>
              <w:pStyle w:val="normal1"/>
              <w:rPr>
                <w:rFonts w:ascii="Comfortaa" w:eastAsia="Comfortaa" w:hAnsi="Comfortaa" w:cs="Comfortaa"/>
              </w:rPr>
            </w:pPr>
            <w:r>
              <w:rPr>
                <w:rFonts w:ascii="Comfortaa" w:eastAsia="Comfortaa" w:hAnsi="Comfortaa" w:cs="Comfortaa"/>
                <w:sz w:val="17"/>
                <w:szCs w:val="17"/>
              </w:rPr>
              <w:t>Gasóleo máximo 2.921 m³/2.468 t; BESS LFP; la matriz trata el fallo operativo del BESS, pero no cuantifica escenarios térmicos o tóxicos.</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3FD45745"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de AAI Págs. 121, 243, 277 y 401–402</w:t>
            </w:r>
          </w:p>
        </w:tc>
      </w:tr>
      <w:tr w:rsidR="00B16640" w14:paraId="33FFBE22" w14:textId="77777777">
        <w:trPr>
          <w:cantSplit/>
          <w:jc w:val="center"/>
        </w:trPr>
        <w:tc>
          <w:tcPr>
            <w:tcW w:w="1983" w:type="dxa"/>
            <w:tcBorders>
              <w:top w:val="single" w:sz="4" w:space="0" w:color="B7C9D6"/>
              <w:left w:val="single" w:sz="4" w:space="0" w:color="B7C9D6"/>
              <w:bottom w:val="single" w:sz="4" w:space="0" w:color="B7C9D6"/>
              <w:right w:val="single" w:sz="4" w:space="0" w:color="B7C9D6"/>
            </w:tcBorders>
            <w:tcMar>
              <w:top w:w="65" w:type="dxa"/>
              <w:bottom w:w="65" w:type="dxa"/>
            </w:tcMar>
          </w:tcPr>
          <w:p w14:paraId="3044A2B8" w14:textId="77777777" w:rsidR="00B16640" w:rsidRDefault="00000000">
            <w:pPr>
              <w:pStyle w:val="normal1"/>
              <w:rPr>
                <w:rFonts w:ascii="Comfortaa" w:eastAsia="Comfortaa" w:hAnsi="Comfortaa" w:cs="Comfortaa"/>
              </w:rPr>
            </w:pPr>
            <w:r>
              <w:rPr>
                <w:rFonts w:ascii="Comfortaa" w:eastAsia="Comfortaa" w:hAnsi="Comfortaa" w:cs="Comfortaa"/>
                <w:b/>
                <w:bCs/>
                <w:sz w:val="17"/>
                <w:szCs w:val="17"/>
              </w:rPr>
              <w:t>12. Planeamiento</w:t>
            </w:r>
          </w:p>
        </w:tc>
        <w:tc>
          <w:tcPr>
            <w:tcW w:w="5102" w:type="dxa"/>
            <w:tcBorders>
              <w:top w:val="single" w:sz="4" w:space="0" w:color="B7C9D6"/>
              <w:left w:val="single" w:sz="4" w:space="0" w:color="B7C9D6"/>
              <w:bottom w:val="single" w:sz="4" w:space="0" w:color="B7C9D6"/>
              <w:right w:val="single" w:sz="4" w:space="0" w:color="B7C9D6"/>
            </w:tcBorders>
            <w:tcMar>
              <w:top w:w="65" w:type="dxa"/>
              <w:bottom w:w="65" w:type="dxa"/>
            </w:tcMar>
          </w:tcPr>
          <w:p w14:paraId="5423409D" w14:textId="77777777" w:rsidR="00B16640" w:rsidRDefault="00000000">
            <w:pPr>
              <w:pStyle w:val="normal1"/>
              <w:rPr>
                <w:rFonts w:ascii="Comfortaa" w:eastAsia="Comfortaa" w:hAnsi="Comfortaa" w:cs="Comfortaa"/>
              </w:rPr>
            </w:pPr>
            <w:r>
              <w:rPr>
                <w:rFonts w:ascii="Comfortaa" w:eastAsia="Comfortaa" w:hAnsi="Comfortaa" w:cs="Comfortaa"/>
                <w:sz w:val="17"/>
                <w:szCs w:val="17"/>
              </w:rPr>
              <w:t>Solicitud de informe de compatibilidad urbanística y mención de ambos promotores.</w:t>
            </w:r>
          </w:p>
        </w:tc>
        <w:tc>
          <w:tcPr>
            <w:tcW w:w="2269" w:type="dxa"/>
            <w:tcBorders>
              <w:top w:val="single" w:sz="4" w:space="0" w:color="B7C9D6"/>
              <w:left w:val="single" w:sz="4" w:space="0" w:color="B7C9D6"/>
              <w:bottom w:val="single" w:sz="4" w:space="0" w:color="B7C9D6"/>
              <w:right w:val="single" w:sz="4" w:space="0" w:color="B7C9D6"/>
            </w:tcBorders>
            <w:tcMar>
              <w:top w:w="65" w:type="dxa"/>
              <w:bottom w:w="65" w:type="dxa"/>
            </w:tcMar>
          </w:tcPr>
          <w:p w14:paraId="6772A3B8" w14:textId="77777777" w:rsidR="00B16640" w:rsidRDefault="00000000">
            <w:pPr>
              <w:pStyle w:val="normal1"/>
              <w:rPr>
                <w:rFonts w:ascii="Comfortaa" w:eastAsia="Comfortaa" w:hAnsi="Comfortaa" w:cs="Comfortaa"/>
              </w:rPr>
            </w:pPr>
            <w:r>
              <w:rPr>
                <w:rFonts w:ascii="Comfortaa" w:eastAsia="Comfortaa" w:hAnsi="Comfortaa" w:cs="Comfortaa"/>
                <w:sz w:val="17"/>
                <w:szCs w:val="17"/>
              </w:rPr>
              <w:t>Proyecto básico de AAI Págs.  20 y 22</w:t>
            </w:r>
          </w:p>
        </w:tc>
      </w:tr>
    </w:tbl>
    <w:p w14:paraId="752DF497" w14:textId="77777777" w:rsidR="00B16640" w:rsidRDefault="00B16640">
      <w:pPr>
        <w:pStyle w:val="normal1"/>
        <w:rPr>
          <w:rFonts w:ascii="Comfortaa" w:eastAsia="Comfortaa" w:hAnsi="Comfortaa" w:cs="Comfortaa"/>
        </w:rPr>
      </w:pPr>
    </w:p>
    <w:p w14:paraId="7F0D47AD" w14:textId="77777777" w:rsidR="00B16640" w:rsidRDefault="00000000">
      <w:pPr>
        <w:pStyle w:val="Ttulo2"/>
        <w:keepLines/>
        <w:numPr>
          <w:ilvl w:val="1"/>
          <w:numId w:val="1"/>
        </w:numPr>
        <w:rPr>
          <w:rFonts w:ascii="Comfortaa" w:eastAsia="Comfortaa" w:hAnsi="Comfortaa" w:cs="Comfortaa"/>
          <w:color w:val="000000"/>
        </w:rPr>
      </w:pPr>
      <w:r>
        <w:rPr>
          <w:rFonts w:ascii="Comfortaa" w:eastAsia="Comfortaa" w:hAnsi="Comfortaa" w:cs="Comfortaa"/>
          <w:color w:val="000000"/>
        </w:rPr>
        <w:t>REFERENCIAS NORMATIVAS PRINCIPALES</w:t>
      </w:r>
    </w:p>
    <w:p w14:paraId="3B83BDBF"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Real Decreto Legislativo 1/2016, de 16 de diciembre, por el que se aprueba el texto refundido de la Ley de prevención y control integrados de la contaminación: arts. 9, 12, 14–20, 22 y anejo 4.</w:t>
      </w:r>
    </w:p>
    <w:p w14:paraId="481312A4"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Ley 21/2013, de 9 de diciembre, de evaluación ambiental: arts. 35, 36, 38 y 39, y anexo VI.</w:t>
      </w:r>
    </w:p>
    <w:p w14:paraId="1EBEF7A5"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Texto refundido de la Ley de Prevención Ambiental de Castilla y León, aprobado por Decreto Legislativo 1/2015, de 12 de noviembre: art. 55.</w:t>
      </w:r>
    </w:p>
    <w:p w14:paraId="1F2F3528"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Ley 39/2015, de 1 de octubre, del Procedimiento Administrativo Común de las Administraciones Públicas: art. 83.</w:t>
      </w:r>
    </w:p>
    <w:p w14:paraId="71170C8E"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Ley 27/2006, de 18 de julio, sobre acceso a la información, participación pública y acceso a la justicia en materia de medio ambiente: art. 3.</w:t>
      </w:r>
    </w:p>
    <w:p w14:paraId="1C49994D"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Ley 5/2009, de 4 de junio, del Ruido de Castilla y León: arts. 12 y 13 y anexos I y II.</w:t>
      </w:r>
    </w:p>
    <w:p w14:paraId="4E8AE03C" w14:textId="77777777" w:rsidR="00B16640" w:rsidRDefault="00000000">
      <w:pPr>
        <w:pStyle w:val="normal1"/>
        <w:keepLines/>
        <w:spacing w:after="60" w:line="276" w:lineRule="auto"/>
        <w:ind w:left="369" w:hanging="198"/>
        <w:jc w:val="both"/>
        <w:rPr>
          <w:rFonts w:ascii="Comfortaa" w:eastAsia="Comfortaa" w:hAnsi="Comfortaa" w:cs="Comfortaa"/>
        </w:rPr>
      </w:pPr>
      <w:r>
        <w:rPr>
          <w:rFonts w:ascii="Comfortaa" w:eastAsia="Comfortaa" w:hAnsi="Comfortaa" w:cs="Comfortaa"/>
          <w:b/>
          <w:bCs/>
        </w:rPr>
        <w:t xml:space="preserve">• </w:t>
      </w:r>
      <w:r>
        <w:rPr>
          <w:rFonts w:ascii="Comfortaa" w:eastAsia="Comfortaa" w:hAnsi="Comfortaa" w:cs="Comfortaa"/>
        </w:rPr>
        <w:t>Real Decreto 840/2015, de 21 de septiembre, sobre accidentes graves en los que intervengan sustancias peligrosas.</w:t>
      </w:r>
    </w:p>
    <w:p w14:paraId="40C93FA7" w14:textId="77777777" w:rsidR="00B16640" w:rsidRDefault="00B16640">
      <w:pPr>
        <w:pStyle w:val="normal1"/>
        <w:keepLines/>
        <w:widowControl/>
        <w:spacing w:line="252" w:lineRule="auto"/>
        <w:rPr>
          <w:rFonts w:ascii="Comfortaa" w:eastAsia="Comfortaa" w:hAnsi="Comfortaa" w:cs="Comfortaa"/>
          <w:sz w:val="17"/>
          <w:szCs w:val="17"/>
        </w:rPr>
      </w:pPr>
    </w:p>
    <w:sectPr w:rsidR="00B16640" w:rsidSect="004027F9">
      <w:footerReference w:type="default" r:id="rId8"/>
      <w:footerReference w:type="first" r:id="rId9"/>
      <w:pgSz w:w="11906" w:h="16838"/>
      <w:pgMar w:top="1020" w:right="1191" w:bottom="851" w:left="1191" w:header="0" w:footer="454"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5FFF6" w14:textId="77777777" w:rsidR="004D4E59" w:rsidRDefault="004D4E59">
      <w:r>
        <w:separator/>
      </w:r>
    </w:p>
  </w:endnote>
  <w:endnote w:type="continuationSeparator" w:id="0">
    <w:p w14:paraId="39404335" w14:textId="77777777" w:rsidR="004D4E59" w:rsidRDefault="004D4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Cambria"/>
    <w:charset w:val="00"/>
    <w:family w:val="roman"/>
    <w:pitch w:val="variable"/>
  </w:font>
  <w:font w:name="Liberation Sans">
    <w:altName w:val="Arial"/>
    <w:charset w:val="00"/>
    <w:family w:val="roman"/>
    <w:pitch w:val="variable"/>
  </w:font>
  <w:font w:name="Liberation Mono">
    <w:altName w:val="Courier New"/>
    <w:charset w:val="00"/>
    <w:family w:val="roman"/>
    <w:pitch w:val="variable"/>
  </w:font>
  <w:font w:name="Georgia">
    <w:panose1 w:val="02040502050405020303"/>
    <w:charset w:val="00"/>
    <w:family w:val="roman"/>
    <w:pitch w:val="variable"/>
    <w:sig w:usb0="00000287" w:usb1="00000000" w:usb2="00000000" w:usb3="00000000" w:csb0="0000009F" w:csb1="00000000"/>
    <w:embedItalic r:id="rId1" w:fontKey="{F6CB18FD-E812-40F9-80C5-2851B238A8FC}"/>
  </w:font>
  <w:font w:name="Mangal">
    <w:panose1 w:val="00000400000000000000"/>
    <w:charset w:val="00"/>
    <w:family w:val="roman"/>
    <w:pitch w:val="variable"/>
    <w:sig w:usb0="00008003" w:usb1="00000000" w:usb2="00000000" w:usb3="00000000" w:csb0="00000001" w:csb1="00000000"/>
  </w:font>
  <w:font w:name="Comfortaa">
    <w:altName w:val="Calibri"/>
    <w:charset w:val="01"/>
    <w:family w:val="auto"/>
    <w:pitch w:val="variable"/>
    <w:embedRegular r:id="rId2" w:fontKey="{98CD772F-9B89-42A5-98CC-53735CF73DEE}"/>
    <w:embedBold r:id="rId3" w:fontKey="{3DD9BE87-FF3D-4146-A783-19E7F245EF3A}"/>
    <w:embedItalic r:id="rId4" w:fontKey="{4CC5EAE5-F5CC-463D-BB20-9E15E9782B27}"/>
  </w:font>
  <w:font w:name="Caudex">
    <w:charset w:val="00"/>
    <w:family w:val="roman"/>
    <w:pitch w:val="variable"/>
    <w:embedRegular r:id="rId5" w:fontKey="{47BD901E-12AA-49A5-A931-88BF6FE08A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7514E" w14:textId="420B44D0" w:rsidR="00B16640" w:rsidRDefault="00000000">
    <w:pPr>
      <w:pStyle w:val="normal1"/>
      <w:spacing w:before="40"/>
      <w:jc w:val="center"/>
    </w:pPr>
    <w:r>
      <w:rPr>
        <w:color w:val="666666"/>
        <w:sz w:val="16"/>
        <w:szCs w:val="16"/>
      </w:rPr>
      <w:t>Expediente 003-26-AAZA</w:t>
    </w:r>
    <w:r w:rsidR="00555F54">
      <w:rPr>
        <w:color w:val="666666"/>
        <w:sz w:val="16"/>
        <w:szCs w:val="16"/>
      </w:rPr>
      <w:t>· Alegaci</w:t>
    </w:r>
    <w:r w:rsidR="009F345E">
      <w:rPr>
        <w:color w:val="666666"/>
        <w:sz w:val="16"/>
        <w:szCs w:val="16"/>
      </w:rPr>
      <w:t>ón</w:t>
    </w:r>
    <w:r>
      <w:rPr>
        <w:color w:val="666666"/>
        <w:sz w:val="16"/>
        <w:szCs w:val="16"/>
      </w:rPr>
      <w:t xml:space="preserve"> </w:t>
    </w:r>
    <w:r w:rsidR="00B912D1">
      <w:rPr>
        <w:color w:val="666666"/>
        <w:sz w:val="16"/>
        <w:szCs w:val="16"/>
      </w:rPr>
      <w:t>Personal C</w:t>
    </w:r>
    <w:r w:rsidR="00555F54">
      <w:rPr>
        <w:color w:val="666666"/>
        <w:sz w:val="16"/>
        <w:szCs w:val="16"/>
      </w:rPr>
      <w:t xml:space="preserve">entro de </w:t>
    </w:r>
    <w:r w:rsidR="00B912D1">
      <w:rPr>
        <w:color w:val="666666"/>
        <w:sz w:val="16"/>
        <w:szCs w:val="16"/>
      </w:rPr>
      <w:t>D</w:t>
    </w:r>
    <w:r w:rsidR="00555F54">
      <w:rPr>
        <w:color w:val="666666"/>
        <w:sz w:val="16"/>
        <w:szCs w:val="16"/>
      </w:rPr>
      <w:t xml:space="preserve">atos de </w:t>
    </w:r>
    <w:proofErr w:type="spellStart"/>
    <w:r w:rsidR="00555F54">
      <w:rPr>
        <w:color w:val="666666"/>
        <w:sz w:val="16"/>
        <w:szCs w:val="16"/>
      </w:rPr>
      <w:t>Monfarracinos</w:t>
    </w:r>
    <w:proofErr w:type="spellEnd"/>
    <w:r w:rsidR="00555F54">
      <w:rPr>
        <w:color w:val="666666"/>
        <w:sz w:val="16"/>
        <w:szCs w:val="16"/>
      </w:rPr>
      <w:t xml:space="preserve"> · Página</w:t>
    </w:r>
    <w:r>
      <w:rPr>
        <w:color w:val="666666"/>
        <w:sz w:val="16"/>
        <w:szCs w:val="16"/>
      </w:rPr>
      <w:t xml:space="preserve"> </w:t>
    </w:r>
    <w:r>
      <w:fldChar w:fldCharType="begin"/>
    </w:r>
    <w:r>
      <w:instrText xml:space="preserve"> PAGE </w:instrText>
    </w:r>
    <w:r>
      <w:fldChar w:fldCharType="separate"/>
    </w:r>
    <w: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34D46" w14:textId="77777777" w:rsidR="00B16640" w:rsidRDefault="00000000">
    <w:pPr>
      <w:pStyle w:val="normal1"/>
      <w:spacing w:before="40"/>
      <w:jc w:val="center"/>
    </w:pPr>
    <w:r>
      <w:rPr>
        <w:color w:val="666666"/>
        <w:sz w:val="16"/>
        <w:szCs w:val="16"/>
      </w:rPr>
      <w:t>Expediente 003-26-</w:t>
    </w:r>
    <w:proofErr w:type="gramStart"/>
    <w:r>
      <w:rPr>
        <w:color w:val="666666"/>
        <w:sz w:val="16"/>
        <w:szCs w:val="16"/>
      </w:rPr>
      <w:t>AAZA  ·</w:t>
    </w:r>
    <w:proofErr w:type="gramEnd"/>
    <w:r>
      <w:rPr>
        <w:color w:val="666666"/>
        <w:sz w:val="16"/>
        <w:szCs w:val="16"/>
      </w:rPr>
      <w:t xml:space="preserve">  Alegaciones modelo </w:t>
    </w:r>
    <w:proofErr w:type="gramStart"/>
    <w:r>
      <w:rPr>
        <w:color w:val="666666"/>
        <w:sz w:val="16"/>
        <w:szCs w:val="16"/>
      </w:rPr>
      <w:t>revisadas  ·</w:t>
    </w:r>
    <w:proofErr w:type="gramEnd"/>
    <w:r>
      <w:rPr>
        <w:color w:val="666666"/>
        <w:sz w:val="16"/>
        <w:szCs w:val="16"/>
      </w:rPr>
      <w:t xml:space="preserve">  Página </w:t>
    </w: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536E2" w14:textId="77777777" w:rsidR="004D4E59" w:rsidRDefault="004D4E59">
      <w:r>
        <w:separator/>
      </w:r>
    </w:p>
  </w:footnote>
  <w:footnote w:type="continuationSeparator" w:id="0">
    <w:p w14:paraId="1FB10843" w14:textId="77777777" w:rsidR="004D4E59" w:rsidRDefault="004D4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119F"/>
    <w:multiLevelType w:val="multilevel"/>
    <w:tmpl w:val="7EDAE7AA"/>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43112718"/>
    <w:multiLevelType w:val="multilevel"/>
    <w:tmpl w:val="1174EA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84602099">
    <w:abstractNumId w:val="0"/>
  </w:num>
  <w:num w:numId="2" w16cid:durableId="199131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640"/>
    <w:rsid w:val="002C7CA8"/>
    <w:rsid w:val="002D37C7"/>
    <w:rsid w:val="00315AD8"/>
    <w:rsid w:val="003A0AE8"/>
    <w:rsid w:val="004027F9"/>
    <w:rsid w:val="004D4E59"/>
    <w:rsid w:val="00551C7B"/>
    <w:rsid w:val="00555F54"/>
    <w:rsid w:val="006C2E6F"/>
    <w:rsid w:val="00845E75"/>
    <w:rsid w:val="009F345E"/>
    <w:rsid w:val="00A05306"/>
    <w:rsid w:val="00AA7405"/>
    <w:rsid w:val="00B16640"/>
    <w:rsid w:val="00B912D1"/>
    <w:rsid w:val="00C73C51"/>
    <w:rsid w:val="00CC0582"/>
    <w:rsid w:val="00CF242D"/>
    <w:rsid w:val="00D81242"/>
    <w:rsid w:val="00D97DF8"/>
    <w:rsid w:val="00EF22DE"/>
    <w:rsid w:val="00F90B5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B9A4F"/>
  <w15:docId w15:val="{4D881D70-5A6E-48D2-9E66-630D335D4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Ttulo1">
    <w:name w:val="heading 1"/>
    <w:basedOn w:val="normal1"/>
    <w:next w:val="normal1"/>
    <w:uiPriority w:val="9"/>
    <w:qFormat/>
    <w:pPr>
      <w:keepNext/>
      <w:spacing w:after="160"/>
      <w:outlineLvl w:val="0"/>
    </w:pPr>
    <w:rPr>
      <w:b/>
      <w:bCs/>
      <w:color w:val="1F4E79"/>
      <w:sz w:val="32"/>
      <w:szCs w:val="32"/>
    </w:rPr>
  </w:style>
  <w:style w:type="paragraph" w:styleId="Ttulo2">
    <w:name w:val="heading 2"/>
    <w:basedOn w:val="normal1"/>
    <w:next w:val="normal1"/>
    <w:uiPriority w:val="9"/>
    <w:unhideWhenUsed/>
    <w:qFormat/>
    <w:pPr>
      <w:keepNext/>
      <w:spacing w:before="240" w:after="100"/>
      <w:outlineLvl w:val="1"/>
    </w:pPr>
    <w:rPr>
      <w:b/>
      <w:bCs/>
      <w:color w:val="1F4E79"/>
      <w:sz w:val="24"/>
      <w:szCs w:val="24"/>
    </w:rPr>
  </w:style>
  <w:style w:type="paragraph" w:styleId="Ttulo3">
    <w:name w:val="heading 3"/>
    <w:basedOn w:val="normal1"/>
    <w:next w:val="normal1"/>
    <w:uiPriority w:val="9"/>
    <w:semiHidden/>
    <w:unhideWhenUsed/>
    <w:qFormat/>
    <w:pPr>
      <w:keepNext/>
      <w:spacing w:before="160" w:after="80"/>
      <w:outlineLvl w:val="2"/>
    </w:pPr>
    <w:rPr>
      <w:b/>
      <w:bCs/>
      <w:color w:val="1F4E79"/>
      <w:sz w:val="21"/>
      <w:szCs w:val="21"/>
    </w:rPr>
  </w:style>
  <w:style w:type="paragraph" w:styleId="Ttulo4">
    <w:name w:val="heading 4"/>
    <w:basedOn w:val="normal1"/>
    <w:next w:val="normal1"/>
    <w:uiPriority w:val="9"/>
    <w:semiHidden/>
    <w:unhideWhenUsed/>
    <w:qFormat/>
    <w:pPr>
      <w:keepNext/>
      <w:keepLines/>
      <w:spacing w:before="240" w:after="40"/>
      <w:outlineLvl w:val="3"/>
    </w:pPr>
    <w:rPr>
      <w:b/>
      <w:bCs/>
      <w:sz w:val="24"/>
      <w:szCs w:val="24"/>
    </w:rPr>
  </w:style>
  <w:style w:type="paragraph" w:styleId="Ttulo5">
    <w:name w:val="heading 5"/>
    <w:basedOn w:val="normal1"/>
    <w:next w:val="normal1"/>
    <w:uiPriority w:val="9"/>
    <w:semiHidden/>
    <w:unhideWhenUsed/>
    <w:qFormat/>
    <w:pPr>
      <w:keepNext/>
      <w:keepLines/>
      <w:spacing w:before="220" w:after="40"/>
      <w:outlineLvl w:val="4"/>
    </w:pPr>
    <w:rPr>
      <w:b/>
      <w:bCs/>
      <w:sz w:val="22"/>
      <w:szCs w:val="22"/>
    </w:rPr>
  </w:style>
  <w:style w:type="paragraph" w:styleId="Ttulo6">
    <w:name w:val="heading 6"/>
    <w:basedOn w:val="normal1"/>
    <w:next w:val="normal1"/>
    <w:uiPriority w:val="9"/>
    <w:semiHidden/>
    <w:unhideWhenUsed/>
    <w:qFormat/>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mbolosdenumeracin">
    <w:name w:val="Símbolos de numeración"/>
    <w:qFormat/>
  </w:style>
  <w:style w:type="character" w:customStyle="1" w:styleId="Bullets">
    <w:name w:val="Bullets"/>
    <w:qFormat/>
    <w:rPr>
      <w:rFonts w:ascii="OpenSymbol" w:eastAsia="OpenSymbol" w:hAnsi="OpenSymbol" w:cs="OpenSymbol"/>
    </w:rPr>
  </w:style>
  <w:style w:type="character" w:styleId="Hipervnculo">
    <w:name w:val="Hyperlink"/>
    <w:rPr>
      <w:color w:val="000080"/>
      <w:u w:val="single"/>
    </w:rPr>
  </w:style>
  <w:style w:type="paragraph" w:customStyle="1" w:styleId="Ttulo10">
    <w:name w:val="Título1"/>
    <w:basedOn w:val="normal1"/>
    <w:next w:val="Textoindependiente"/>
    <w:qFormat/>
    <w:pPr>
      <w:keepNext/>
      <w:spacing w:before="240" w:after="120"/>
    </w:pPr>
    <w:rPr>
      <w:rFonts w:ascii="Liberation Sans" w:hAnsi="Liberation Sans"/>
      <w:sz w:val="28"/>
      <w:szCs w:val="28"/>
    </w:rPr>
  </w:style>
  <w:style w:type="paragraph" w:styleId="Textoindependiente">
    <w:name w:val="Body Text"/>
    <w:basedOn w:val="normal1"/>
    <w:pPr>
      <w:spacing w:after="100" w:line="276" w:lineRule="auto"/>
    </w:pPr>
  </w:style>
  <w:style w:type="paragraph" w:styleId="Lista">
    <w:name w:val="List"/>
    <w:basedOn w:val="Textoindependiente"/>
  </w:style>
  <w:style w:type="paragraph" w:styleId="Descripcin">
    <w:name w:val="caption"/>
    <w:basedOn w:val="normal1"/>
    <w:qFormat/>
    <w:pPr>
      <w:suppressLineNumbers/>
      <w:spacing w:before="120" w:after="120"/>
    </w:pPr>
    <w:rPr>
      <w:i/>
      <w:iCs/>
    </w:rPr>
  </w:style>
  <w:style w:type="paragraph" w:customStyle="1" w:styleId="ndice">
    <w:name w:val="Índice"/>
    <w:basedOn w:val="normal1"/>
    <w:qFormat/>
    <w:pPr>
      <w:suppressLineNumbers/>
    </w:pPr>
  </w:style>
  <w:style w:type="paragraph" w:customStyle="1" w:styleId="normal1">
    <w:name w:val="normal1"/>
    <w:qFormat/>
    <w:pPr>
      <w:widowControl w:val="0"/>
    </w:pPr>
  </w:style>
  <w:style w:type="paragraph" w:styleId="Ttulo">
    <w:name w:val="Title"/>
    <w:basedOn w:val="normal1"/>
    <w:next w:val="normal1"/>
    <w:uiPriority w:val="10"/>
    <w:qFormat/>
    <w:pPr>
      <w:keepNext/>
      <w:keepLines/>
      <w:spacing w:before="480" w:after="120"/>
    </w:pPr>
    <w:rPr>
      <w:b/>
      <w:bCs/>
      <w:sz w:val="72"/>
      <w:szCs w:val="72"/>
    </w:rPr>
  </w:style>
  <w:style w:type="paragraph" w:customStyle="1" w:styleId="BlockQuotation">
    <w:name w:val="Block Quotation"/>
    <w:basedOn w:val="normal1"/>
    <w:qFormat/>
    <w:pPr>
      <w:spacing w:after="283"/>
      <w:ind w:left="567" w:right="567"/>
    </w:pPr>
  </w:style>
  <w:style w:type="paragraph" w:customStyle="1" w:styleId="Lneahorizontal">
    <w:name w:val="Línea horizontal"/>
    <w:basedOn w:val="normal1"/>
    <w:next w:val="Textoindependiente"/>
    <w:qFormat/>
    <w:pPr>
      <w:suppressLineNumbers/>
      <w:pBdr>
        <w:bottom w:val="double" w:sz="2" w:space="0" w:color="808080"/>
      </w:pBdr>
      <w:spacing w:after="283"/>
    </w:pPr>
    <w:rPr>
      <w:sz w:val="12"/>
      <w:szCs w:val="12"/>
    </w:rPr>
  </w:style>
  <w:style w:type="paragraph" w:customStyle="1" w:styleId="Textopreformateado">
    <w:name w:val="Texto preformateado"/>
    <w:basedOn w:val="normal1"/>
    <w:qFormat/>
    <w:rPr>
      <w:rFonts w:ascii="Liberation Mono" w:eastAsia="Liberation Mono" w:hAnsi="Liberation Mono" w:cs="Liberation Mono"/>
    </w:rPr>
  </w:style>
  <w:style w:type="paragraph" w:customStyle="1" w:styleId="SmallNote">
    <w:name w:val="Small Note"/>
    <w:qFormat/>
    <w:pPr>
      <w:widowControl w:val="0"/>
    </w:pPr>
    <w:rPr>
      <w:color w:val="666666"/>
      <w:sz w:val="17"/>
    </w:rPr>
  </w:style>
  <w:style w:type="paragraph" w:styleId="Subttulo">
    <w:name w:val="Subtitle"/>
    <w:basedOn w:val="normal1"/>
    <w:next w:val="normal1"/>
    <w:uiPriority w:val="11"/>
    <w:qFormat/>
    <w:pPr>
      <w:keepNext/>
      <w:keepLines/>
      <w:spacing w:before="360" w:after="80"/>
    </w:pPr>
    <w:rPr>
      <w:rFonts w:ascii="Georgia" w:eastAsia="Georgia" w:hAnsi="Georgia" w:cs="Georgia"/>
      <w:i/>
      <w:iCs/>
      <w:color w:val="666666"/>
      <w:sz w:val="48"/>
      <w:szCs w:val="48"/>
    </w:rPr>
  </w:style>
  <w:style w:type="paragraph" w:customStyle="1" w:styleId="Cabeceraypie">
    <w:name w:val="Cabecera y pie"/>
    <w:basedOn w:val="Normal"/>
    <w:qFormat/>
  </w:style>
  <w:style w:type="paragraph" w:styleId="Piedepgina">
    <w:name w:val="footer"/>
    <w:basedOn w:val="Cabeceraypie"/>
  </w:style>
  <w:style w:type="numbering" w:customStyle="1" w:styleId="Ningunalista">
    <w:name w:val="Ninguna lista"/>
    <w:uiPriority w:val="99"/>
    <w:semiHidden/>
    <w:unhideWhenUsed/>
    <w:qFormat/>
  </w:style>
  <w:style w:type="table" w:customStyle="1" w:styleId="TableNormal">
    <w:name w:val="TableNormal"/>
    <w:tblPr>
      <w:tblCellMar>
        <w:top w:w="100" w:type="dxa"/>
        <w:left w:w="100" w:type="dxa"/>
        <w:bottom w:w="100" w:type="dxa"/>
        <w:right w:w="100" w:type="dxa"/>
      </w:tblCellMar>
    </w:tblPr>
  </w:style>
  <w:style w:type="paragraph" w:styleId="Prrafodelista">
    <w:name w:val="List Paragraph"/>
    <w:basedOn w:val="Normal"/>
    <w:uiPriority w:val="34"/>
    <w:qFormat/>
    <w:rsid w:val="00CF242D"/>
    <w:pPr>
      <w:ind w:left="720"/>
      <w:contextualSpacing/>
    </w:pPr>
    <w:rPr>
      <w:rFonts w:cs="Mangal"/>
      <w:szCs w:val="18"/>
    </w:rPr>
  </w:style>
  <w:style w:type="character" w:styleId="Mencinsinresolver">
    <w:name w:val="Unresolved Mention"/>
    <w:basedOn w:val="Fuentedeprrafopredeter"/>
    <w:uiPriority w:val="99"/>
    <w:semiHidden/>
    <w:unhideWhenUsed/>
    <w:rsid w:val="00CF242D"/>
    <w:rPr>
      <w:color w:val="605E5C"/>
      <w:shd w:val="clear" w:color="auto" w:fill="E1DFDD"/>
    </w:rPr>
  </w:style>
  <w:style w:type="paragraph" w:styleId="Encabezado">
    <w:name w:val="header"/>
    <w:basedOn w:val="Normal"/>
    <w:link w:val="EncabezadoCar"/>
    <w:uiPriority w:val="99"/>
    <w:unhideWhenUsed/>
    <w:rsid w:val="00555F54"/>
    <w:pPr>
      <w:tabs>
        <w:tab w:val="center" w:pos="4252"/>
        <w:tab w:val="right" w:pos="8504"/>
      </w:tabs>
    </w:pPr>
    <w:rPr>
      <w:rFonts w:cs="Mangal"/>
      <w:szCs w:val="18"/>
    </w:rPr>
  </w:style>
  <w:style w:type="character" w:customStyle="1" w:styleId="EncabezadoCar">
    <w:name w:val="Encabezado Car"/>
    <w:basedOn w:val="Fuentedeprrafopredeter"/>
    <w:link w:val="Encabezado"/>
    <w:uiPriority w:val="99"/>
    <w:rsid w:val="00555F54"/>
    <w:rPr>
      <w:rFonts w:cs="Mang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xDtxeBI0h0l4N4q5qiy1ayNK3cw==">CgMxLjAaHgoBMBIZChcIB0ITCglDb21mb3J0YWESBkNhdWRleBoeCgExEhkKFwgHQhMKCUNvbWZvcnRhYRIGQ2F1ZGV4Gh4KATISGQoXCAdCEwoJQ29tZm9ydGFhEgZDYXVkZXgaHgoBMxIZChcIB0ITCglDb21mb3J0YWESBkNhdWRleBoeCgE0EhkKFwgHQhMKCUNvbWZvcnRhYRIGQ2F1ZGV4Gh4KATUSGQoXCAdCEwoJQ29tZm9ydGFhEgZDYXVkZXgaHgoBNhIZChcIB0ITCglDb21mb3J0YWESBkNhdWRleDgAciExZEZhYnY5aDVUMGtVTTRDLUJuSkpCbEM0a2ktRFl3U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5021</Words>
  <Characters>27618</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Modelo revisado</dc:creator>
  <dc:description/>
  <cp:lastModifiedBy>Rulo Nieto</cp:lastModifiedBy>
  <cp:revision>8</cp:revision>
  <cp:lastPrinted>2026-08-25T19:10:00Z</cp:lastPrinted>
  <dcterms:created xsi:type="dcterms:W3CDTF">2026-08-22T17:22:00Z</dcterms:created>
  <dcterms:modified xsi:type="dcterms:W3CDTF">2026-09-10T16:34:00Z</dcterms:modified>
  <dc:language>es-ES</dc:language>
</cp:coreProperties>
</file>